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6E8F5" w14:textId="29889093" w:rsidR="00B13689" w:rsidRPr="003513DA" w:rsidRDefault="00B13689" w:rsidP="00353E9C">
      <w:pPr>
        <w:pStyle w:val="Heading2"/>
        <w:rPr>
          <w:rFonts w:ascii="Calibri" w:hAnsi="Calibri" w:cs="Calibri"/>
          <w:b w:val="0"/>
          <w:bCs/>
          <w:color w:val="215E99" w:themeColor="text2" w:themeTint="BF"/>
          <w:sz w:val="36"/>
          <w:szCs w:val="28"/>
        </w:rPr>
      </w:pPr>
      <w:r w:rsidRPr="003513DA">
        <w:rPr>
          <w:rFonts w:ascii="Calibri" w:hAnsi="Calibri" w:cs="Calibri"/>
          <w:b w:val="0"/>
          <w:bCs/>
          <w:color w:val="215E99" w:themeColor="text2" w:themeTint="BF"/>
          <w:sz w:val="36"/>
          <w:szCs w:val="28"/>
        </w:rPr>
        <w:t>20</w:t>
      </w:r>
      <w:r w:rsidR="003513DA">
        <w:rPr>
          <w:rFonts w:ascii="Calibri" w:hAnsi="Calibri" w:cs="Calibri"/>
          <w:b w:val="0"/>
          <w:bCs/>
          <w:color w:val="215E99" w:themeColor="text2" w:themeTint="BF"/>
          <w:sz w:val="36"/>
          <w:szCs w:val="28"/>
        </w:rPr>
        <w:t>2</w:t>
      </w:r>
      <w:r w:rsidRPr="003513DA">
        <w:rPr>
          <w:rFonts w:ascii="Calibri" w:hAnsi="Calibri" w:cs="Calibri"/>
          <w:b w:val="0"/>
          <w:bCs/>
          <w:color w:val="215E99" w:themeColor="text2" w:themeTint="BF"/>
          <w:sz w:val="36"/>
          <w:szCs w:val="28"/>
        </w:rPr>
        <w:t>4 Pricing review online submission form</w:t>
      </w:r>
    </w:p>
    <w:p w14:paraId="05264C60" w14:textId="68D5BF4E" w:rsidR="006A137C" w:rsidRPr="006A137C" w:rsidRDefault="006A137C" w:rsidP="006A137C">
      <w:pPr>
        <w:rPr>
          <w:rFonts w:asciiTheme="majorHAnsi" w:hAnsiTheme="majorHAnsi"/>
        </w:rPr>
      </w:pPr>
      <w:r w:rsidRPr="006A137C">
        <w:rPr>
          <w:rFonts w:asciiTheme="majorHAnsi" w:hAnsiTheme="majorHAnsi"/>
        </w:rPr>
        <w:t xml:space="preserve">From 27 August to 8 October 2024 the </w:t>
      </w:r>
      <w:r w:rsidR="00FE2B9E">
        <w:rPr>
          <w:rFonts w:asciiTheme="majorHAnsi" w:hAnsiTheme="majorHAnsi"/>
        </w:rPr>
        <w:t>Civil Aviation</w:t>
      </w:r>
      <w:r w:rsidR="00976260">
        <w:rPr>
          <w:rFonts w:asciiTheme="majorHAnsi" w:hAnsiTheme="majorHAnsi"/>
        </w:rPr>
        <w:t xml:space="preserve"> </w:t>
      </w:r>
      <w:r w:rsidRPr="006A137C">
        <w:rPr>
          <w:rFonts w:asciiTheme="majorHAnsi" w:hAnsiTheme="majorHAnsi"/>
        </w:rPr>
        <w:t xml:space="preserve">Authority is consulting on a proposal to </w:t>
      </w:r>
      <w:r w:rsidR="00E33849">
        <w:rPr>
          <w:rFonts w:asciiTheme="majorHAnsi" w:hAnsiTheme="majorHAnsi"/>
        </w:rPr>
        <w:t xml:space="preserve">change the </w:t>
      </w:r>
      <w:r w:rsidR="006F561F">
        <w:rPr>
          <w:rFonts w:asciiTheme="majorHAnsi" w:hAnsiTheme="majorHAnsi"/>
        </w:rPr>
        <w:t xml:space="preserve">level of its </w:t>
      </w:r>
      <w:r w:rsidRPr="006A137C">
        <w:rPr>
          <w:rFonts w:asciiTheme="majorHAnsi" w:hAnsiTheme="majorHAnsi"/>
        </w:rPr>
        <w:t xml:space="preserve">levies, fees and charges. </w:t>
      </w:r>
    </w:p>
    <w:p w14:paraId="7D3AE5AF" w14:textId="33268132" w:rsidR="006A137C" w:rsidRPr="006A137C" w:rsidRDefault="006A137C" w:rsidP="006A137C">
      <w:pPr>
        <w:rPr>
          <w:rFonts w:asciiTheme="majorHAnsi" w:hAnsiTheme="majorHAnsi"/>
        </w:rPr>
      </w:pPr>
      <w:r w:rsidRPr="006A137C">
        <w:rPr>
          <w:rFonts w:asciiTheme="majorHAnsi" w:hAnsiTheme="majorHAnsi"/>
          <w:lang w:val="mi-NZ"/>
        </w:rPr>
        <w:t>The review is intended to re-establish a sustainable funding model for the period between 1 July 2025 and 30 June 2027</w:t>
      </w:r>
      <w:r w:rsidR="00EF59F6">
        <w:rPr>
          <w:rFonts w:asciiTheme="majorHAnsi" w:hAnsiTheme="majorHAnsi"/>
          <w:lang w:val="mi-NZ"/>
        </w:rPr>
        <w:t>.</w:t>
      </w:r>
      <w:r w:rsidR="00976260">
        <w:rPr>
          <w:rFonts w:asciiTheme="majorHAnsi" w:hAnsiTheme="majorHAnsi"/>
          <w:lang w:val="mi-NZ"/>
        </w:rPr>
        <w:t xml:space="preserve"> </w:t>
      </w:r>
    </w:p>
    <w:p w14:paraId="6C1D7199" w14:textId="77777777" w:rsidR="006A137C" w:rsidRDefault="006A137C" w:rsidP="006A137C">
      <w:pPr>
        <w:rPr>
          <w:rFonts w:asciiTheme="majorHAnsi" w:hAnsiTheme="majorHAnsi"/>
        </w:rPr>
      </w:pPr>
      <w:r w:rsidRPr="00216F9F">
        <w:t xml:space="preserve">As the Government’s primary civil aviation safety and security regulator, our paramount priority is ensuring the safety and security performance of the aviation system and its users. By undertaking our regulatory functions, we provide assurance that the aviation system is safe and secure, and that people are safe and feel safe when participating in, or engaging with, the </w:t>
      </w:r>
      <w:r w:rsidRPr="00E06B46">
        <w:rPr>
          <w:rFonts w:asciiTheme="majorHAnsi" w:hAnsiTheme="majorHAnsi"/>
        </w:rPr>
        <w:t xml:space="preserve">aviation system. </w:t>
      </w:r>
    </w:p>
    <w:p w14:paraId="4ADEB0CB" w14:textId="0F48E2B7" w:rsidR="00981DC4" w:rsidRPr="00136C67" w:rsidRDefault="00981DC4" w:rsidP="00136C67">
      <w:pPr>
        <w:rPr>
          <w:rFonts w:asciiTheme="majorHAnsi" w:hAnsiTheme="majorHAnsi"/>
        </w:rPr>
      </w:pPr>
      <w:r>
        <w:rPr>
          <w:rFonts w:asciiTheme="majorHAnsi" w:hAnsiTheme="majorHAnsi"/>
        </w:rPr>
        <w:t xml:space="preserve">Please read the consultation document published online at </w:t>
      </w:r>
      <w:hyperlink r:id="rId5" w:history="1">
        <w:r w:rsidRPr="008853C0">
          <w:rPr>
            <w:rStyle w:val="Hyperlink"/>
            <w:rFonts w:ascii="Calibri" w:hAnsi="Calibri" w:cs="Calibri"/>
          </w:rPr>
          <w:t>https://www.aviation.govt.nz/about-us/what-we-do/how-we-are-funded/funding-review-2024</w:t>
        </w:r>
      </w:hyperlink>
      <w:r>
        <w:rPr>
          <w:rStyle w:val="Hyperlink"/>
          <w:rFonts w:ascii="Calibri" w:hAnsi="Calibri" w:cs="Calibri"/>
        </w:rPr>
        <w:t xml:space="preserve">. </w:t>
      </w:r>
      <w:r>
        <w:rPr>
          <w:rStyle w:val="Hyperlink"/>
        </w:rPr>
        <w:t xml:space="preserve"> </w:t>
      </w:r>
    </w:p>
    <w:p w14:paraId="75184686" w14:textId="77777777" w:rsidR="00136C67" w:rsidRDefault="00136C67" w:rsidP="00136C67">
      <w:pPr>
        <w:pStyle w:val="Heading3"/>
      </w:pPr>
      <w:r>
        <w:t xml:space="preserve">You can make a submission by: </w:t>
      </w:r>
    </w:p>
    <w:p w14:paraId="3F5666EF" w14:textId="77777777" w:rsidR="00136C67" w:rsidRPr="008853C0" w:rsidRDefault="00136C67" w:rsidP="00136C67">
      <w:pPr>
        <w:pStyle w:val="ListParagraph"/>
        <w:numPr>
          <w:ilvl w:val="0"/>
          <w:numId w:val="12"/>
        </w:numPr>
        <w:rPr>
          <w:rFonts w:asciiTheme="majorHAnsi" w:hAnsiTheme="majorHAnsi"/>
        </w:rPr>
      </w:pPr>
      <w:r>
        <w:rPr>
          <w:rFonts w:asciiTheme="majorHAnsi" w:hAnsiTheme="majorHAnsi"/>
        </w:rPr>
        <w:t xml:space="preserve">Completing and submitting this form </w:t>
      </w:r>
      <w:r w:rsidRPr="008853C0">
        <w:rPr>
          <w:rFonts w:asciiTheme="majorHAnsi" w:hAnsiTheme="majorHAnsi"/>
        </w:rPr>
        <w:t xml:space="preserve">online at </w:t>
      </w:r>
      <w:hyperlink r:id="rId6" w:history="1">
        <w:r w:rsidRPr="008853C0">
          <w:rPr>
            <w:rStyle w:val="Hyperlink"/>
            <w:rFonts w:ascii="Calibri" w:hAnsi="Calibri" w:cs="Calibri"/>
          </w:rPr>
          <w:t>https://www.aviation.govt.nz/about-us/what-we-do/how-we-are-funded/funding-review-2024</w:t>
        </w:r>
      </w:hyperlink>
    </w:p>
    <w:p w14:paraId="70B7BA29" w14:textId="77777777" w:rsidR="00136C67" w:rsidRPr="008853C0" w:rsidRDefault="00136C67" w:rsidP="00136C67">
      <w:pPr>
        <w:pStyle w:val="ListParagraph"/>
        <w:numPr>
          <w:ilvl w:val="0"/>
          <w:numId w:val="12"/>
        </w:numPr>
        <w:rPr>
          <w:rFonts w:asciiTheme="majorHAnsi" w:hAnsiTheme="majorHAnsi"/>
        </w:rPr>
      </w:pPr>
      <w:r>
        <w:rPr>
          <w:rFonts w:asciiTheme="majorHAnsi" w:hAnsiTheme="majorHAnsi"/>
        </w:rPr>
        <w:t xml:space="preserve">Downloading and completing this form and emailing it to </w:t>
      </w:r>
      <w:r w:rsidRPr="00553E21">
        <w:rPr>
          <w:rStyle w:val="Hyperlink"/>
        </w:rPr>
        <w:t>pricing</w:t>
      </w:r>
      <w:hyperlink r:id="rId7" w:history="1">
        <w:r w:rsidRPr="00174C0E">
          <w:rPr>
            <w:rStyle w:val="Hyperlink"/>
          </w:rPr>
          <w:t>consultation@caa.govt.nz</w:t>
        </w:r>
      </w:hyperlink>
      <w:r>
        <w:rPr>
          <w:rStyle w:val="Hyperlink"/>
        </w:rPr>
        <w:t xml:space="preserve">. </w:t>
      </w:r>
    </w:p>
    <w:p w14:paraId="45AF758F" w14:textId="1F2F2452" w:rsidR="006B5105" w:rsidRPr="00FA2760" w:rsidRDefault="00411C35" w:rsidP="00717FDF">
      <w:pPr>
        <w:pStyle w:val="Bodytext"/>
        <w:rPr>
          <w:rFonts w:asciiTheme="majorHAnsi" w:hAnsiTheme="majorHAnsi" w:cs="Calibri"/>
          <w:b/>
          <w:bCs/>
          <w:szCs w:val="24"/>
        </w:rPr>
      </w:pPr>
      <w:r w:rsidRPr="00FA2760">
        <w:rPr>
          <w:rFonts w:asciiTheme="majorHAnsi" w:hAnsiTheme="majorHAnsi" w:cs="Calibri"/>
          <w:b/>
          <w:bCs/>
          <w:szCs w:val="24"/>
        </w:rPr>
        <w:t>Use this form to submit to</w:t>
      </w:r>
      <w:r w:rsidR="00611FAD" w:rsidRPr="00FA2760">
        <w:rPr>
          <w:rFonts w:asciiTheme="majorHAnsi" w:hAnsiTheme="majorHAnsi" w:cs="Calibri"/>
          <w:b/>
          <w:bCs/>
          <w:szCs w:val="24"/>
        </w:rPr>
        <w:t xml:space="preserve"> your feedback to us on the Pricing Review 2024.</w:t>
      </w:r>
    </w:p>
    <w:p w14:paraId="60E7BCF6" w14:textId="2C128077" w:rsidR="007227AB" w:rsidRPr="00E06B46" w:rsidRDefault="00DC5846" w:rsidP="00A73117">
      <w:pPr>
        <w:pStyle w:val="Bodytext"/>
        <w:rPr>
          <w:rFonts w:asciiTheme="majorHAnsi" w:hAnsiTheme="majorHAnsi" w:cs="Calibri"/>
          <w:sz w:val="22"/>
          <w:szCs w:val="22"/>
        </w:rPr>
      </w:pPr>
      <w:r>
        <w:rPr>
          <w:rFonts w:asciiTheme="majorHAnsi" w:hAnsiTheme="majorHAnsi" w:cs="Calibri"/>
          <w:sz w:val="22"/>
          <w:szCs w:val="22"/>
        </w:rPr>
        <w:t>The c</w:t>
      </w:r>
      <w:r w:rsidR="00A73117" w:rsidRPr="00A73117">
        <w:rPr>
          <w:rFonts w:asciiTheme="majorHAnsi" w:hAnsiTheme="majorHAnsi" w:cs="Calibri"/>
          <w:sz w:val="22"/>
          <w:szCs w:val="22"/>
        </w:rPr>
        <w:t>onsultation process is open from </w:t>
      </w:r>
      <w:r w:rsidR="00A73117" w:rsidRPr="00A73117">
        <w:rPr>
          <w:rFonts w:asciiTheme="majorHAnsi" w:hAnsiTheme="majorHAnsi" w:cs="Calibri"/>
          <w:b/>
          <w:bCs/>
          <w:sz w:val="22"/>
          <w:szCs w:val="22"/>
        </w:rPr>
        <w:t>Tuesday 27 August until 5pm Tuesday 8 October</w:t>
      </w:r>
      <w:r w:rsidR="00A73117" w:rsidRPr="00A73117">
        <w:rPr>
          <w:rFonts w:asciiTheme="majorHAnsi" w:hAnsiTheme="majorHAnsi" w:cs="Calibri"/>
          <w:sz w:val="22"/>
          <w:szCs w:val="22"/>
        </w:rPr>
        <w:t xml:space="preserve">. </w:t>
      </w:r>
    </w:p>
    <w:p w14:paraId="52C0AB7D" w14:textId="77777777" w:rsidR="00387038" w:rsidRPr="00A73117" w:rsidRDefault="00387038" w:rsidP="00387038">
      <w:pPr>
        <w:pStyle w:val="Bodytext"/>
        <w:rPr>
          <w:rFonts w:asciiTheme="majorHAnsi" w:hAnsiTheme="majorHAnsi" w:cs="Calibri"/>
          <w:sz w:val="22"/>
          <w:szCs w:val="22"/>
        </w:rPr>
      </w:pPr>
      <w:r w:rsidRPr="00A73117">
        <w:rPr>
          <w:rFonts w:asciiTheme="majorHAnsi" w:hAnsiTheme="majorHAnsi" w:cs="Calibri"/>
          <w:sz w:val="22"/>
          <w:szCs w:val="22"/>
        </w:rPr>
        <w:t>There are three key questions we're seeking feedback on:</w:t>
      </w:r>
    </w:p>
    <w:p w14:paraId="4FD6433C" w14:textId="6E65BF6C" w:rsidR="008869B0" w:rsidRDefault="00387038" w:rsidP="00387038">
      <w:pPr>
        <w:pStyle w:val="Bodytext"/>
        <w:numPr>
          <w:ilvl w:val="0"/>
          <w:numId w:val="9"/>
        </w:numPr>
        <w:rPr>
          <w:rFonts w:asciiTheme="majorHAnsi" w:hAnsiTheme="majorHAnsi" w:cs="Calibri"/>
          <w:sz w:val="22"/>
          <w:szCs w:val="22"/>
        </w:rPr>
      </w:pPr>
      <w:r w:rsidRPr="00A73117">
        <w:rPr>
          <w:rFonts w:asciiTheme="majorHAnsi" w:hAnsiTheme="majorHAnsi" w:cs="Calibri"/>
          <w:sz w:val="22"/>
          <w:szCs w:val="22"/>
        </w:rPr>
        <w:t xml:space="preserve">Which option to recover costs </w:t>
      </w:r>
      <w:r w:rsidR="005C576D">
        <w:rPr>
          <w:rFonts w:asciiTheme="majorHAnsi" w:hAnsiTheme="majorHAnsi" w:cs="Calibri"/>
          <w:sz w:val="22"/>
          <w:szCs w:val="22"/>
        </w:rPr>
        <w:t>for both CAA and AvSec</w:t>
      </w:r>
      <w:r w:rsidR="00AE470C" w:rsidRPr="00AE470C">
        <w:rPr>
          <w:rFonts w:asciiTheme="majorHAnsi" w:hAnsiTheme="majorHAnsi" w:cs="Calibri"/>
          <w:sz w:val="22"/>
          <w:szCs w:val="22"/>
        </w:rPr>
        <w:t xml:space="preserve"> </w:t>
      </w:r>
      <w:r w:rsidR="00AE470C" w:rsidRPr="00A73117">
        <w:rPr>
          <w:rFonts w:asciiTheme="majorHAnsi" w:hAnsiTheme="majorHAnsi" w:cs="Calibri"/>
          <w:sz w:val="22"/>
          <w:szCs w:val="22"/>
        </w:rPr>
        <w:t>do you prefer</w:t>
      </w:r>
      <w:r w:rsidRPr="00A73117">
        <w:rPr>
          <w:rFonts w:asciiTheme="majorHAnsi" w:hAnsiTheme="majorHAnsi" w:cs="Calibri"/>
          <w:sz w:val="22"/>
          <w:szCs w:val="22"/>
        </w:rPr>
        <w:t>, and why?</w:t>
      </w:r>
      <w:r w:rsidR="000E38E1">
        <w:rPr>
          <w:rFonts w:asciiTheme="majorHAnsi" w:hAnsiTheme="majorHAnsi" w:cs="Calibri"/>
          <w:sz w:val="22"/>
          <w:szCs w:val="22"/>
        </w:rPr>
        <w:t xml:space="preserve"> </w:t>
      </w:r>
      <w:r w:rsidR="0045781F">
        <w:rPr>
          <w:rFonts w:asciiTheme="majorHAnsi" w:hAnsiTheme="majorHAnsi" w:cs="Calibri"/>
          <w:sz w:val="22"/>
          <w:szCs w:val="22"/>
        </w:rPr>
        <w:t xml:space="preserve">Please tick the </w:t>
      </w:r>
      <w:r w:rsidR="0005031A">
        <w:rPr>
          <w:rFonts w:asciiTheme="majorHAnsi" w:hAnsiTheme="majorHAnsi" w:cs="Calibri"/>
          <w:sz w:val="22"/>
          <w:szCs w:val="22"/>
        </w:rPr>
        <w:t>options:</w:t>
      </w:r>
    </w:p>
    <w:tbl>
      <w:tblPr>
        <w:tblStyle w:val="TableGrid"/>
        <w:tblW w:w="0" w:type="auto"/>
        <w:tblLook w:val="04A0" w:firstRow="1" w:lastRow="0" w:firstColumn="1" w:lastColumn="0" w:noHBand="0" w:noVBand="1"/>
      </w:tblPr>
      <w:tblGrid>
        <w:gridCol w:w="1207"/>
        <w:gridCol w:w="557"/>
        <w:gridCol w:w="3355"/>
        <w:gridCol w:w="557"/>
        <w:gridCol w:w="3384"/>
      </w:tblGrid>
      <w:tr w:rsidR="001134FE" w:rsidRPr="005C576D" w14:paraId="62DFF372" w14:textId="77777777" w:rsidTr="009B00CB">
        <w:tc>
          <w:tcPr>
            <w:tcW w:w="1187" w:type="dxa"/>
          </w:tcPr>
          <w:p w14:paraId="7C075EFB" w14:textId="77777777" w:rsidR="00E732A5" w:rsidRPr="005C576D" w:rsidRDefault="00E732A5" w:rsidP="00FA2760">
            <w:pPr>
              <w:pStyle w:val="Bodytext"/>
              <w:rPr>
                <w:rFonts w:asciiTheme="majorHAnsi" w:hAnsiTheme="majorHAnsi" w:cs="Calibri"/>
                <w:b/>
                <w:bCs/>
                <w:sz w:val="22"/>
                <w:szCs w:val="22"/>
              </w:rPr>
            </w:pPr>
            <w:r w:rsidRPr="005C576D">
              <w:rPr>
                <w:rFonts w:asciiTheme="majorHAnsi" w:hAnsiTheme="majorHAnsi" w:cs="Calibri"/>
                <w:b/>
                <w:bCs/>
                <w:sz w:val="22"/>
                <w:szCs w:val="22"/>
              </w:rPr>
              <w:t>Options</w:t>
            </w:r>
          </w:p>
        </w:tc>
        <w:tc>
          <w:tcPr>
            <w:tcW w:w="368" w:type="dxa"/>
          </w:tcPr>
          <w:p w14:paraId="6B37FA3E" w14:textId="12220AB6" w:rsidR="00E732A5" w:rsidRDefault="001134FE" w:rsidP="00FA2760">
            <w:pPr>
              <w:pStyle w:val="Bodytext"/>
              <w:rPr>
                <w:rFonts w:asciiTheme="majorHAnsi" w:hAnsiTheme="majorHAnsi" w:cs="Calibri"/>
                <w:b/>
                <w:bCs/>
                <w:sz w:val="22"/>
                <w:szCs w:val="22"/>
              </w:rPr>
            </w:pPr>
            <w:r>
              <w:rPr>
                <w:rFonts w:asciiTheme="majorHAnsi" w:hAnsiTheme="majorHAnsi" w:cs="Calibri"/>
                <w:b/>
                <w:bCs/>
                <w:noProof/>
                <w:sz w:val="22"/>
                <w:szCs w:val="22"/>
              </w:rPr>
              <w:drawing>
                <wp:inline distT="0" distB="0" distL="0" distR="0" wp14:anchorId="3F01A4BC" wp14:editId="032374D5">
                  <wp:extent cx="216708" cy="216708"/>
                  <wp:effectExtent l="0" t="0" r="0" b="0"/>
                  <wp:docPr id="1997249331"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249331" name="Graphic 1997249331" descr="Checkmark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220591" cy="220591"/>
                          </a:xfrm>
                          <a:prstGeom prst="rect">
                            <a:avLst/>
                          </a:prstGeom>
                        </pic:spPr>
                      </pic:pic>
                    </a:graphicData>
                  </a:graphic>
                </wp:inline>
              </w:drawing>
            </w:r>
          </w:p>
        </w:tc>
        <w:tc>
          <w:tcPr>
            <w:tcW w:w="3516" w:type="dxa"/>
          </w:tcPr>
          <w:p w14:paraId="41D3C6D5" w14:textId="5E9DEA72" w:rsidR="00E732A5" w:rsidRPr="005C576D" w:rsidRDefault="00E732A5" w:rsidP="00FA2760">
            <w:pPr>
              <w:pStyle w:val="Bodytext"/>
              <w:rPr>
                <w:rFonts w:asciiTheme="majorHAnsi" w:hAnsiTheme="majorHAnsi" w:cs="Calibri"/>
                <w:b/>
                <w:bCs/>
                <w:sz w:val="22"/>
                <w:szCs w:val="22"/>
              </w:rPr>
            </w:pPr>
            <w:r>
              <w:rPr>
                <w:rFonts w:asciiTheme="majorHAnsi" w:hAnsiTheme="majorHAnsi" w:cs="Calibri"/>
                <w:b/>
                <w:bCs/>
                <w:sz w:val="22"/>
                <w:szCs w:val="22"/>
              </w:rPr>
              <w:t>CAA</w:t>
            </w:r>
          </w:p>
        </w:tc>
        <w:tc>
          <w:tcPr>
            <w:tcW w:w="453" w:type="dxa"/>
          </w:tcPr>
          <w:p w14:paraId="2AE90246" w14:textId="059116E8" w:rsidR="00E732A5" w:rsidRDefault="001134FE" w:rsidP="00FA2760">
            <w:pPr>
              <w:pStyle w:val="Bodytext"/>
              <w:rPr>
                <w:rFonts w:asciiTheme="majorHAnsi" w:hAnsiTheme="majorHAnsi" w:cs="Calibri"/>
                <w:b/>
                <w:bCs/>
                <w:sz w:val="22"/>
                <w:szCs w:val="22"/>
              </w:rPr>
            </w:pPr>
            <w:r>
              <w:rPr>
                <w:rFonts w:asciiTheme="majorHAnsi" w:hAnsiTheme="majorHAnsi" w:cs="Calibri"/>
                <w:b/>
                <w:bCs/>
                <w:noProof/>
                <w:sz w:val="22"/>
                <w:szCs w:val="22"/>
              </w:rPr>
              <w:drawing>
                <wp:inline distT="0" distB="0" distL="0" distR="0" wp14:anchorId="2A2887F7" wp14:editId="6FF4E5B8">
                  <wp:extent cx="216708" cy="216708"/>
                  <wp:effectExtent l="0" t="0" r="0" b="0"/>
                  <wp:docPr id="5337330"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249331" name="Graphic 1997249331" descr="Checkmark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220591" cy="220591"/>
                          </a:xfrm>
                          <a:prstGeom prst="rect">
                            <a:avLst/>
                          </a:prstGeom>
                        </pic:spPr>
                      </pic:pic>
                    </a:graphicData>
                  </a:graphic>
                </wp:inline>
              </w:drawing>
            </w:r>
          </w:p>
        </w:tc>
        <w:tc>
          <w:tcPr>
            <w:tcW w:w="3536" w:type="dxa"/>
          </w:tcPr>
          <w:p w14:paraId="747FB8C2" w14:textId="4BA8EF16" w:rsidR="00E732A5" w:rsidRPr="005C576D" w:rsidRDefault="00E732A5" w:rsidP="00FA2760">
            <w:pPr>
              <w:pStyle w:val="Bodytext"/>
              <w:rPr>
                <w:rFonts w:asciiTheme="majorHAnsi" w:hAnsiTheme="majorHAnsi" w:cs="Calibri"/>
                <w:b/>
                <w:bCs/>
                <w:sz w:val="22"/>
                <w:szCs w:val="22"/>
              </w:rPr>
            </w:pPr>
            <w:r>
              <w:rPr>
                <w:rFonts w:asciiTheme="majorHAnsi" w:hAnsiTheme="majorHAnsi" w:cs="Calibri"/>
                <w:b/>
                <w:bCs/>
                <w:sz w:val="22"/>
                <w:szCs w:val="22"/>
              </w:rPr>
              <w:t>AvSec</w:t>
            </w:r>
          </w:p>
        </w:tc>
      </w:tr>
      <w:tr w:rsidR="001134FE" w14:paraId="74D156EC" w14:textId="77777777" w:rsidTr="009B00CB">
        <w:tc>
          <w:tcPr>
            <w:tcW w:w="1187" w:type="dxa"/>
          </w:tcPr>
          <w:p w14:paraId="448B37C0" w14:textId="77777777" w:rsidR="00E732A5" w:rsidRDefault="00E732A5" w:rsidP="00FA2760">
            <w:pPr>
              <w:pStyle w:val="Bodytext"/>
              <w:rPr>
                <w:rFonts w:asciiTheme="majorHAnsi" w:hAnsiTheme="majorHAnsi" w:cs="Calibri"/>
                <w:sz w:val="22"/>
                <w:szCs w:val="22"/>
              </w:rPr>
            </w:pPr>
            <w:r>
              <w:rPr>
                <w:rFonts w:asciiTheme="majorHAnsi" w:hAnsiTheme="majorHAnsi" w:cs="Calibri"/>
                <w:sz w:val="22"/>
                <w:szCs w:val="22"/>
              </w:rPr>
              <w:t>Status quo</w:t>
            </w:r>
          </w:p>
        </w:tc>
        <w:tc>
          <w:tcPr>
            <w:tcW w:w="368" w:type="dxa"/>
          </w:tcPr>
          <w:p w14:paraId="0603166A" w14:textId="1188F70B" w:rsidR="00E732A5" w:rsidRDefault="00110438" w:rsidP="00FA2760">
            <w:pPr>
              <w:pStyle w:val="Bodytext"/>
              <w:rPr>
                <w:rFonts w:asciiTheme="majorHAnsi" w:hAnsiTheme="majorHAnsi" w:cs="Calibri"/>
                <w:sz w:val="22"/>
                <w:szCs w:val="22"/>
              </w:rPr>
            </w:pPr>
            <w:r>
              <w:rPr>
                <w:rFonts w:asciiTheme="majorHAnsi" w:hAnsiTheme="majorHAnsi" w:cs="Calibri"/>
                <w:noProof/>
                <w:sz w:val="22"/>
                <w:szCs w:val="22"/>
              </w:rPr>
              <w:drawing>
                <wp:inline distT="0" distB="0" distL="0" distR="0" wp14:anchorId="4E7A24BB" wp14:editId="3EDFFB91">
                  <wp:extent cx="128270" cy="128270"/>
                  <wp:effectExtent l="0" t="0" r="5080" b="5080"/>
                  <wp:docPr id="16073219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tc>
        <w:tc>
          <w:tcPr>
            <w:tcW w:w="3516" w:type="dxa"/>
          </w:tcPr>
          <w:p w14:paraId="2BE6AAB3" w14:textId="67997AA6" w:rsidR="00E732A5" w:rsidRDefault="00E732A5" w:rsidP="00FA2760">
            <w:pPr>
              <w:pStyle w:val="Bodytext"/>
              <w:rPr>
                <w:rFonts w:asciiTheme="majorHAnsi" w:hAnsiTheme="majorHAnsi" w:cs="Calibri"/>
                <w:sz w:val="22"/>
                <w:szCs w:val="22"/>
              </w:rPr>
            </w:pPr>
            <w:r>
              <w:rPr>
                <w:rFonts w:asciiTheme="majorHAnsi" w:hAnsiTheme="majorHAnsi" w:cs="Calibri"/>
                <w:sz w:val="22"/>
                <w:szCs w:val="22"/>
              </w:rPr>
              <w:t>All fees, levies and charges remain the same as set in 2017</w:t>
            </w:r>
          </w:p>
        </w:tc>
        <w:tc>
          <w:tcPr>
            <w:tcW w:w="453" w:type="dxa"/>
          </w:tcPr>
          <w:p w14:paraId="24EF2816" w14:textId="13C51385" w:rsidR="00E732A5" w:rsidRDefault="00110438" w:rsidP="00FA2760">
            <w:pPr>
              <w:pStyle w:val="Bodytext"/>
              <w:rPr>
                <w:rFonts w:asciiTheme="majorHAnsi" w:hAnsiTheme="majorHAnsi" w:cs="Calibri"/>
                <w:sz w:val="22"/>
                <w:szCs w:val="22"/>
              </w:rPr>
            </w:pPr>
            <w:r>
              <w:rPr>
                <w:rFonts w:asciiTheme="majorHAnsi" w:hAnsiTheme="majorHAnsi" w:cs="Calibri"/>
                <w:noProof/>
                <w:sz w:val="22"/>
                <w:szCs w:val="22"/>
              </w:rPr>
              <w:drawing>
                <wp:inline distT="0" distB="0" distL="0" distR="0" wp14:anchorId="0A8A82A7" wp14:editId="7EC2F005">
                  <wp:extent cx="128270" cy="128270"/>
                  <wp:effectExtent l="0" t="0" r="5080" b="5080"/>
                  <wp:docPr id="7807647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tc>
        <w:tc>
          <w:tcPr>
            <w:tcW w:w="3536" w:type="dxa"/>
          </w:tcPr>
          <w:p w14:paraId="4B2F68B9" w14:textId="623EF94F" w:rsidR="00E732A5" w:rsidRDefault="00E732A5" w:rsidP="00FA2760">
            <w:pPr>
              <w:pStyle w:val="Bodytext"/>
              <w:rPr>
                <w:rFonts w:asciiTheme="majorHAnsi" w:hAnsiTheme="majorHAnsi" w:cs="Calibri"/>
                <w:sz w:val="22"/>
                <w:szCs w:val="22"/>
              </w:rPr>
            </w:pPr>
            <w:r>
              <w:rPr>
                <w:rFonts w:asciiTheme="majorHAnsi" w:hAnsiTheme="majorHAnsi" w:cs="Calibri"/>
                <w:sz w:val="22"/>
                <w:szCs w:val="22"/>
              </w:rPr>
              <w:t>All fees, levies and charges remain the same as set in 2019</w:t>
            </w:r>
          </w:p>
        </w:tc>
      </w:tr>
      <w:tr w:rsidR="001134FE" w14:paraId="44199C17" w14:textId="77777777" w:rsidTr="009B00CB">
        <w:tc>
          <w:tcPr>
            <w:tcW w:w="1187" w:type="dxa"/>
          </w:tcPr>
          <w:p w14:paraId="1E009426" w14:textId="77777777" w:rsidR="00E732A5" w:rsidRDefault="00E732A5" w:rsidP="00FA2760">
            <w:pPr>
              <w:pStyle w:val="Bodytext"/>
              <w:rPr>
                <w:rFonts w:asciiTheme="majorHAnsi" w:hAnsiTheme="majorHAnsi" w:cs="Calibri"/>
                <w:sz w:val="22"/>
                <w:szCs w:val="22"/>
              </w:rPr>
            </w:pPr>
            <w:r>
              <w:rPr>
                <w:rFonts w:asciiTheme="majorHAnsi" w:hAnsiTheme="majorHAnsi" w:cs="Calibri"/>
                <w:sz w:val="22"/>
                <w:szCs w:val="22"/>
              </w:rPr>
              <w:t>Option 1 (preferred)</w:t>
            </w:r>
          </w:p>
        </w:tc>
        <w:tc>
          <w:tcPr>
            <w:tcW w:w="368" w:type="dxa"/>
          </w:tcPr>
          <w:p w14:paraId="5DE75D75" w14:textId="32D48129" w:rsidR="00E732A5" w:rsidRPr="00B95D67" w:rsidRDefault="00110438" w:rsidP="00FA2760">
            <w:pPr>
              <w:pStyle w:val="Bodytext"/>
              <w:rPr>
                <w:rFonts w:asciiTheme="majorHAnsi" w:hAnsiTheme="majorHAnsi" w:cs="Calibri"/>
                <w:sz w:val="22"/>
                <w:szCs w:val="22"/>
              </w:rPr>
            </w:pPr>
            <w:r>
              <w:rPr>
                <w:rFonts w:asciiTheme="majorHAnsi" w:hAnsiTheme="majorHAnsi" w:cs="Calibri"/>
                <w:noProof/>
                <w:sz w:val="22"/>
                <w:szCs w:val="22"/>
              </w:rPr>
              <w:drawing>
                <wp:inline distT="0" distB="0" distL="0" distR="0" wp14:anchorId="1D6BDEBC" wp14:editId="4E4C87CC">
                  <wp:extent cx="128270" cy="128270"/>
                  <wp:effectExtent l="0" t="0" r="5080" b="5080"/>
                  <wp:docPr id="16190117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tc>
        <w:tc>
          <w:tcPr>
            <w:tcW w:w="3516" w:type="dxa"/>
          </w:tcPr>
          <w:p w14:paraId="17402563" w14:textId="580F4C1A" w:rsidR="00E732A5" w:rsidRDefault="00E732A5" w:rsidP="00FA2760">
            <w:pPr>
              <w:pStyle w:val="Bodytext"/>
              <w:rPr>
                <w:rFonts w:asciiTheme="majorHAnsi" w:hAnsiTheme="majorHAnsi" w:cs="Calibri"/>
                <w:sz w:val="22"/>
                <w:szCs w:val="22"/>
              </w:rPr>
            </w:pPr>
            <w:r w:rsidRPr="00B95D67">
              <w:rPr>
                <w:rFonts w:asciiTheme="majorHAnsi" w:hAnsiTheme="majorHAnsi" w:cs="Calibri"/>
                <w:sz w:val="22"/>
                <w:szCs w:val="22"/>
              </w:rPr>
              <w:t>All fees, levies, and charges are adjusted for inflation, with funding for residual costs recovered through increasing the passenger safety levies</w:t>
            </w:r>
          </w:p>
        </w:tc>
        <w:tc>
          <w:tcPr>
            <w:tcW w:w="453" w:type="dxa"/>
          </w:tcPr>
          <w:p w14:paraId="474914E8" w14:textId="5843B3DF" w:rsidR="00E732A5" w:rsidRPr="00C81216" w:rsidRDefault="00110438" w:rsidP="00FA2760">
            <w:pPr>
              <w:pStyle w:val="Bodytext"/>
              <w:rPr>
                <w:rFonts w:asciiTheme="majorHAnsi" w:hAnsiTheme="majorHAnsi" w:cs="Calibri"/>
                <w:sz w:val="22"/>
                <w:szCs w:val="22"/>
              </w:rPr>
            </w:pPr>
            <w:r>
              <w:rPr>
                <w:rFonts w:asciiTheme="majorHAnsi" w:hAnsiTheme="majorHAnsi" w:cs="Calibri"/>
                <w:noProof/>
                <w:sz w:val="22"/>
                <w:szCs w:val="22"/>
              </w:rPr>
              <w:drawing>
                <wp:inline distT="0" distB="0" distL="0" distR="0" wp14:anchorId="385853DE" wp14:editId="2F964E08">
                  <wp:extent cx="128270" cy="128270"/>
                  <wp:effectExtent l="0" t="0" r="5080" b="5080"/>
                  <wp:docPr id="4455959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tc>
        <w:tc>
          <w:tcPr>
            <w:tcW w:w="3536" w:type="dxa"/>
          </w:tcPr>
          <w:p w14:paraId="12E7078E" w14:textId="3D0D6E31" w:rsidR="00E732A5" w:rsidRPr="00B95D67" w:rsidRDefault="00E732A5" w:rsidP="00FA2760">
            <w:pPr>
              <w:pStyle w:val="Bodytext"/>
              <w:rPr>
                <w:rFonts w:asciiTheme="majorHAnsi" w:hAnsiTheme="majorHAnsi" w:cs="Calibri"/>
                <w:sz w:val="22"/>
                <w:szCs w:val="22"/>
              </w:rPr>
            </w:pPr>
            <w:r w:rsidRPr="00C81216">
              <w:rPr>
                <w:rFonts w:asciiTheme="majorHAnsi" w:hAnsiTheme="majorHAnsi" w:cs="Calibri"/>
                <w:sz w:val="22"/>
                <w:szCs w:val="22"/>
              </w:rPr>
              <w:t>Raise the domestic and international passenger security levies by the same/similar proportion</w:t>
            </w:r>
          </w:p>
        </w:tc>
      </w:tr>
      <w:tr w:rsidR="001134FE" w14:paraId="64D2883E" w14:textId="77777777" w:rsidTr="009B00CB">
        <w:tc>
          <w:tcPr>
            <w:tcW w:w="1187" w:type="dxa"/>
          </w:tcPr>
          <w:p w14:paraId="2585FF77" w14:textId="77777777" w:rsidR="00E732A5" w:rsidRDefault="00E732A5" w:rsidP="00FA2760">
            <w:pPr>
              <w:pStyle w:val="Bodytext"/>
              <w:rPr>
                <w:rFonts w:asciiTheme="majorHAnsi" w:hAnsiTheme="majorHAnsi" w:cs="Calibri"/>
                <w:sz w:val="22"/>
                <w:szCs w:val="22"/>
              </w:rPr>
            </w:pPr>
            <w:r>
              <w:rPr>
                <w:rFonts w:asciiTheme="majorHAnsi" w:hAnsiTheme="majorHAnsi" w:cs="Calibri"/>
                <w:sz w:val="22"/>
                <w:szCs w:val="22"/>
              </w:rPr>
              <w:t>Option 2</w:t>
            </w:r>
          </w:p>
        </w:tc>
        <w:tc>
          <w:tcPr>
            <w:tcW w:w="368" w:type="dxa"/>
          </w:tcPr>
          <w:p w14:paraId="05C89A00" w14:textId="151B08AE" w:rsidR="00E732A5" w:rsidRPr="008B5470" w:rsidRDefault="00110438" w:rsidP="00FA2760">
            <w:pPr>
              <w:pStyle w:val="Bodytext"/>
              <w:rPr>
                <w:rFonts w:asciiTheme="majorHAnsi" w:hAnsiTheme="majorHAnsi" w:cs="Calibri"/>
                <w:sz w:val="22"/>
                <w:szCs w:val="22"/>
              </w:rPr>
            </w:pPr>
            <w:r>
              <w:rPr>
                <w:rFonts w:asciiTheme="majorHAnsi" w:hAnsiTheme="majorHAnsi" w:cs="Calibri"/>
                <w:noProof/>
                <w:sz w:val="22"/>
                <w:szCs w:val="22"/>
              </w:rPr>
              <w:drawing>
                <wp:inline distT="0" distB="0" distL="0" distR="0" wp14:anchorId="4928A7CB" wp14:editId="37B9F382">
                  <wp:extent cx="128270" cy="128270"/>
                  <wp:effectExtent l="0" t="0" r="5080" b="5080"/>
                  <wp:docPr id="20566446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tc>
        <w:tc>
          <w:tcPr>
            <w:tcW w:w="3516" w:type="dxa"/>
          </w:tcPr>
          <w:p w14:paraId="20A63B4B" w14:textId="73D321E7" w:rsidR="00E732A5" w:rsidRDefault="00E732A5" w:rsidP="00FA2760">
            <w:pPr>
              <w:pStyle w:val="Bodytext"/>
              <w:rPr>
                <w:rFonts w:asciiTheme="majorHAnsi" w:hAnsiTheme="majorHAnsi" w:cs="Calibri"/>
                <w:sz w:val="22"/>
                <w:szCs w:val="22"/>
              </w:rPr>
            </w:pPr>
            <w:r w:rsidRPr="008B5470">
              <w:rPr>
                <w:rFonts w:asciiTheme="majorHAnsi" w:hAnsiTheme="majorHAnsi" w:cs="Calibri"/>
                <w:sz w:val="22"/>
                <w:szCs w:val="22"/>
              </w:rPr>
              <w:t>Increase all fees, levies and charges by the same percentage</w:t>
            </w:r>
          </w:p>
        </w:tc>
        <w:tc>
          <w:tcPr>
            <w:tcW w:w="453" w:type="dxa"/>
          </w:tcPr>
          <w:p w14:paraId="6F6E5556" w14:textId="59ED787B" w:rsidR="00E732A5" w:rsidRPr="00B441B9" w:rsidRDefault="00110438" w:rsidP="00FA2760">
            <w:pPr>
              <w:pStyle w:val="Bodytext"/>
              <w:rPr>
                <w:rFonts w:asciiTheme="majorHAnsi" w:hAnsiTheme="majorHAnsi" w:cs="Calibri"/>
                <w:sz w:val="22"/>
                <w:szCs w:val="22"/>
              </w:rPr>
            </w:pPr>
            <w:r>
              <w:rPr>
                <w:rFonts w:asciiTheme="majorHAnsi" w:hAnsiTheme="majorHAnsi" w:cs="Calibri"/>
                <w:noProof/>
                <w:sz w:val="22"/>
                <w:szCs w:val="22"/>
              </w:rPr>
              <w:drawing>
                <wp:inline distT="0" distB="0" distL="0" distR="0" wp14:anchorId="0633DE94" wp14:editId="0EEE89B8">
                  <wp:extent cx="128270" cy="128270"/>
                  <wp:effectExtent l="0" t="0" r="5080" b="5080"/>
                  <wp:docPr id="1506942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tc>
        <w:tc>
          <w:tcPr>
            <w:tcW w:w="3536" w:type="dxa"/>
          </w:tcPr>
          <w:p w14:paraId="243D7587" w14:textId="0538CF1E" w:rsidR="00E732A5" w:rsidRPr="008B5470" w:rsidRDefault="00E732A5" w:rsidP="00FA2760">
            <w:pPr>
              <w:pStyle w:val="Bodytext"/>
              <w:rPr>
                <w:rFonts w:asciiTheme="majorHAnsi" w:hAnsiTheme="majorHAnsi" w:cs="Calibri"/>
                <w:sz w:val="22"/>
                <w:szCs w:val="22"/>
              </w:rPr>
            </w:pPr>
            <w:r w:rsidRPr="00B441B9">
              <w:rPr>
                <w:rFonts w:asciiTheme="majorHAnsi" w:hAnsiTheme="majorHAnsi" w:cs="Calibri"/>
                <w:sz w:val="22"/>
                <w:szCs w:val="22"/>
              </w:rPr>
              <w:t>Raise the international passenger security levy only</w:t>
            </w:r>
          </w:p>
        </w:tc>
      </w:tr>
      <w:tr w:rsidR="001134FE" w14:paraId="51785CEB" w14:textId="77777777" w:rsidTr="009B00CB">
        <w:tc>
          <w:tcPr>
            <w:tcW w:w="1187" w:type="dxa"/>
          </w:tcPr>
          <w:p w14:paraId="7BC1A84F" w14:textId="77777777" w:rsidR="00E732A5" w:rsidRDefault="00E732A5" w:rsidP="00FA2760">
            <w:pPr>
              <w:pStyle w:val="Bodytext"/>
              <w:rPr>
                <w:rFonts w:asciiTheme="majorHAnsi" w:hAnsiTheme="majorHAnsi" w:cs="Calibri"/>
                <w:sz w:val="22"/>
                <w:szCs w:val="22"/>
              </w:rPr>
            </w:pPr>
            <w:r>
              <w:rPr>
                <w:rFonts w:asciiTheme="majorHAnsi" w:hAnsiTheme="majorHAnsi" w:cs="Calibri"/>
                <w:sz w:val="22"/>
                <w:szCs w:val="22"/>
              </w:rPr>
              <w:t>Option 3</w:t>
            </w:r>
          </w:p>
        </w:tc>
        <w:tc>
          <w:tcPr>
            <w:tcW w:w="368" w:type="dxa"/>
          </w:tcPr>
          <w:p w14:paraId="077D8D37" w14:textId="6BFE5039" w:rsidR="00E732A5" w:rsidRPr="00EA6FE8" w:rsidRDefault="00110438" w:rsidP="00FA2760">
            <w:pPr>
              <w:pStyle w:val="Bodytext"/>
              <w:rPr>
                <w:rFonts w:asciiTheme="majorHAnsi" w:hAnsiTheme="majorHAnsi" w:cs="Calibri"/>
                <w:sz w:val="22"/>
                <w:szCs w:val="22"/>
              </w:rPr>
            </w:pPr>
            <w:r>
              <w:rPr>
                <w:rFonts w:asciiTheme="majorHAnsi" w:hAnsiTheme="majorHAnsi" w:cs="Calibri"/>
                <w:noProof/>
                <w:sz w:val="22"/>
                <w:szCs w:val="22"/>
              </w:rPr>
              <w:drawing>
                <wp:inline distT="0" distB="0" distL="0" distR="0" wp14:anchorId="1658936B" wp14:editId="5F1C3B53">
                  <wp:extent cx="128270" cy="128270"/>
                  <wp:effectExtent l="0" t="0" r="5080" b="5080"/>
                  <wp:docPr id="9807703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tc>
        <w:tc>
          <w:tcPr>
            <w:tcW w:w="3516" w:type="dxa"/>
          </w:tcPr>
          <w:p w14:paraId="4F62CD38" w14:textId="495CC850" w:rsidR="00E732A5" w:rsidRDefault="00E732A5" w:rsidP="00FA2760">
            <w:pPr>
              <w:pStyle w:val="Bodytext"/>
              <w:rPr>
                <w:rFonts w:asciiTheme="majorHAnsi" w:hAnsiTheme="majorHAnsi" w:cs="Calibri"/>
                <w:sz w:val="22"/>
                <w:szCs w:val="22"/>
              </w:rPr>
            </w:pPr>
            <w:r w:rsidRPr="00EA6FE8">
              <w:rPr>
                <w:rFonts w:asciiTheme="majorHAnsi" w:hAnsiTheme="majorHAnsi" w:cs="Calibri"/>
                <w:sz w:val="22"/>
                <w:szCs w:val="22"/>
              </w:rPr>
              <w:t>Increase passenger safety levies to cover all increased costs, with no increase to other fees, levies and charges</w:t>
            </w:r>
          </w:p>
        </w:tc>
        <w:tc>
          <w:tcPr>
            <w:tcW w:w="453" w:type="dxa"/>
          </w:tcPr>
          <w:p w14:paraId="55CD88FA" w14:textId="709BFC88" w:rsidR="00E732A5" w:rsidRPr="002B06AA" w:rsidRDefault="00110438" w:rsidP="00FA2760">
            <w:pPr>
              <w:pStyle w:val="Bodytext"/>
              <w:rPr>
                <w:rFonts w:asciiTheme="majorHAnsi" w:hAnsiTheme="majorHAnsi" w:cs="Calibri"/>
                <w:sz w:val="22"/>
                <w:szCs w:val="22"/>
              </w:rPr>
            </w:pPr>
            <w:r>
              <w:rPr>
                <w:rFonts w:asciiTheme="majorHAnsi" w:hAnsiTheme="majorHAnsi" w:cs="Calibri"/>
                <w:noProof/>
                <w:sz w:val="22"/>
                <w:szCs w:val="22"/>
              </w:rPr>
              <w:drawing>
                <wp:inline distT="0" distB="0" distL="0" distR="0" wp14:anchorId="2B33E020" wp14:editId="0029E2B4">
                  <wp:extent cx="128270" cy="128270"/>
                  <wp:effectExtent l="0" t="0" r="5080" b="5080"/>
                  <wp:docPr id="10774220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tc>
        <w:tc>
          <w:tcPr>
            <w:tcW w:w="3536" w:type="dxa"/>
          </w:tcPr>
          <w:p w14:paraId="1C67B430" w14:textId="0EDD2B29" w:rsidR="00E732A5" w:rsidRPr="00EA6FE8" w:rsidRDefault="00E732A5" w:rsidP="00FA2760">
            <w:pPr>
              <w:pStyle w:val="Bodytext"/>
              <w:rPr>
                <w:rFonts w:asciiTheme="majorHAnsi" w:hAnsiTheme="majorHAnsi" w:cs="Calibri"/>
                <w:sz w:val="22"/>
                <w:szCs w:val="22"/>
              </w:rPr>
            </w:pPr>
            <w:r w:rsidRPr="002B06AA">
              <w:rPr>
                <w:rFonts w:asciiTheme="majorHAnsi" w:hAnsiTheme="majorHAnsi" w:cs="Calibri"/>
                <w:sz w:val="22"/>
                <w:szCs w:val="22"/>
              </w:rPr>
              <w:t>Create a new single combined levy</w:t>
            </w:r>
          </w:p>
        </w:tc>
      </w:tr>
    </w:tbl>
    <w:p w14:paraId="20374D9E" w14:textId="77777777" w:rsidR="00FA2760" w:rsidRDefault="00FA2760" w:rsidP="001B407D">
      <w:pPr>
        <w:pStyle w:val="Bodytext"/>
        <w:ind w:left="720"/>
        <w:rPr>
          <w:rFonts w:asciiTheme="majorHAnsi" w:hAnsiTheme="majorHAnsi" w:cs="Calibri"/>
          <w:sz w:val="22"/>
          <w:szCs w:val="22"/>
        </w:rPr>
      </w:pPr>
    </w:p>
    <w:p w14:paraId="61F619DB" w14:textId="53452F60" w:rsidR="001B407D" w:rsidRDefault="001B407D" w:rsidP="001B407D">
      <w:pPr>
        <w:pStyle w:val="Bodytext"/>
        <w:ind w:left="720"/>
        <w:rPr>
          <w:rFonts w:asciiTheme="majorHAnsi" w:hAnsiTheme="majorHAnsi" w:cs="Calibri"/>
          <w:sz w:val="22"/>
          <w:szCs w:val="22"/>
        </w:rPr>
      </w:pPr>
      <w:r>
        <w:rPr>
          <w:rFonts w:asciiTheme="majorHAnsi" w:hAnsiTheme="majorHAnsi" w:cs="Calibri"/>
          <w:sz w:val="22"/>
          <w:szCs w:val="22"/>
        </w:rPr>
        <w:t>[Add your comment]</w:t>
      </w:r>
    </w:p>
    <w:p w14:paraId="03C14327" w14:textId="77777777" w:rsidR="00ED724A" w:rsidRPr="00216F9F" w:rsidRDefault="00ED724A" w:rsidP="001B407D">
      <w:pPr>
        <w:pStyle w:val="Bodytext"/>
        <w:ind w:left="720"/>
        <w:rPr>
          <w:rFonts w:asciiTheme="majorHAnsi" w:hAnsiTheme="majorHAnsi" w:cs="Calibri"/>
          <w:sz w:val="22"/>
          <w:szCs w:val="22"/>
        </w:rPr>
      </w:pPr>
    </w:p>
    <w:p w14:paraId="3D988E41" w14:textId="74FFA025" w:rsidR="00757917" w:rsidRDefault="00757917" w:rsidP="00757917">
      <w:pPr>
        <w:pStyle w:val="Bodytext"/>
        <w:numPr>
          <w:ilvl w:val="0"/>
          <w:numId w:val="9"/>
        </w:numPr>
        <w:rPr>
          <w:rFonts w:asciiTheme="majorHAnsi" w:hAnsiTheme="majorHAnsi" w:cs="Calibri"/>
          <w:sz w:val="22"/>
          <w:szCs w:val="22"/>
        </w:rPr>
      </w:pPr>
      <w:r w:rsidRPr="00A73117">
        <w:rPr>
          <w:rFonts w:asciiTheme="majorHAnsi" w:hAnsiTheme="majorHAnsi" w:cs="Calibri"/>
          <w:sz w:val="22"/>
          <w:szCs w:val="22"/>
        </w:rPr>
        <w:t>Do the preferred option</w:t>
      </w:r>
      <w:r w:rsidR="004004C9">
        <w:rPr>
          <w:rFonts w:asciiTheme="majorHAnsi" w:hAnsiTheme="majorHAnsi" w:cs="Calibri"/>
          <w:sz w:val="22"/>
          <w:szCs w:val="22"/>
        </w:rPr>
        <w:t>s</w:t>
      </w:r>
      <w:r w:rsidRPr="00A73117">
        <w:rPr>
          <w:rFonts w:asciiTheme="majorHAnsi" w:hAnsiTheme="majorHAnsi" w:cs="Calibri"/>
          <w:sz w:val="22"/>
          <w:szCs w:val="22"/>
        </w:rPr>
        <w:t xml:space="preserve"> (</w:t>
      </w:r>
      <w:r w:rsidR="00F94953">
        <w:rPr>
          <w:rFonts w:asciiTheme="majorHAnsi" w:hAnsiTheme="majorHAnsi" w:cs="Calibri"/>
          <w:sz w:val="22"/>
          <w:szCs w:val="22"/>
        </w:rPr>
        <w:t>O</w:t>
      </w:r>
      <w:r w:rsidRPr="00A73117">
        <w:rPr>
          <w:rFonts w:asciiTheme="majorHAnsi" w:hAnsiTheme="majorHAnsi" w:cs="Calibri"/>
          <w:sz w:val="22"/>
          <w:szCs w:val="22"/>
        </w:rPr>
        <w:t>ption 1</w:t>
      </w:r>
      <w:r w:rsidR="00D5699E">
        <w:rPr>
          <w:rFonts w:asciiTheme="majorHAnsi" w:hAnsiTheme="majorHAnsi" w:cs="Calibri"/>
          <w:sz w:val="22"/>
          <w:szCs w:val="22"/>
        </w:rPr>
        <w:t xml:space="preserve"> for both CAA and AvSec</w:t>
      </w:r>
      <w:r w:rsidRPr="00A73117">
        <w:rPr>
          <w:rFonts w:asciiTheme="majorHAnsi" w:hAnsiTheme="majorHAnsi" w:cs="Calibri"/>
          <w:sz w:val="22"/>
          <w:szCs w:val="22"/>
        </w:rPr>
        <w:t>) raise concerns for you and if so, why?</w:t>
      </w:r>
    </w:p>
    <w:p w14:paraId="209619F9" w14:textId="69B767DF" w:rsidR="00757917" w:rsidRPr="00216F9F" w:rsidRDefault="00757917" w:rsidP="00757917">
      <w:pPr>
        <w:pStyle w:val="Bodytext"/>
        <w:ind w:left="720"/>
        <w:rPr>
          <w:rFonts w:asciiTheme="majorHAnsi" w:hAnsiTheme="majorHAnsi" w:cs="Calibri"/>
          <w:sz w:val="22"/>
          <w:szCs w:val="22"/>
        </w:rPr>
      </w:pPr>
      <w:r>
        <w:rPr>
          <w:rFonts w:asciiTheme="majorHAnsi" w:hAnsiTheme="majorHAnsi" w:cs="Calibri"/>
          <w:sz w:val="22"/>
          <w:szCs w:val="22"/>
        </w:rPr>
        <w:t>[Add your comment]</w:t>
      </w:r>
    </w:p>
    <w:p w14:paraId="7FA937D4" w14:textId="77777777" w:rsidR="00ED724A" w:rsidRPr="00042297" w:rsidRDefault="00ED724A" w:rsidP="00ED724A">
      <w:pPr>
        <w:pStyle w:val="Bodytext"/>
        <w:numPr>
          <w:ilvl w:val="0"/>
          <w:numId w:val="9"/>
        </w:numPr>
        <w:rPr>
          <w:rFonts w:asciiTheme="majorHAnsi" w:hAnsiTheme="majorHAnsi" w:cs="Calibri"/>
          <w:sz w:val="22"/>
          <w:szCs w:val="22"/>
        </w:rPr>
      </w:pPr>
      <w:r w:rsidRPr="00A73117">
        <w:rPr>
          <w:rFonts w:asciiTheme="majorHAnsi" w:hAnsiTheme="majorHAnsi" w:cs="Calibri"/>
          <w:sz w:val="22"/>
          <w:szCs w:val="22"/>
        </w:rPr>
        <w:t>Are there any other issues that you think the Authority should be aware of? </w:t>
      </w:r>
    </w:p>
    <w:p w14:paraId="19CFAC5D" w14:textId="77777777" w:rsidR="00ED724A" w:rsidRDefault="00ED724A" w:rsidP="00ED724A">
      <w:pPr>
        <w:pStyle w:val="Bodytext"/>
        <w:ind w:left="720"/>
        <w:rPr>
          <w:rFonts w:asciiTheme="majorHAnsi" w:hAnsiTheme="majorHAnsi" w:cs="Calibri"/>
          <w:sz w:val="22"/>
          <w:szCs w:val="22"/>
        </w:rPr>
      </w:pPr>
      <w:r>
        <w:rPr>
          <w:rFonts w:asciiTheme="majorHAnsi" w:hAnsiTheme="majorHAnsi" w:cs="Calibri"/>
          <w:sz w:val="22"/>
          <w:szCs w:val="22"/>
        </w:rPr>
        <w:t>[Add your comment]</w:t>
      </w:r>
    </w:p>
    <w:p w14:paraId="05A5075D" w14:textId="77777777" w:rsidR="003A52F8" w:rsidRDefault="003A52F8" w:rsidP="00221265">
      <w:pPr>
        <w:pStyle w:val="Bodytext"/>
        <w:ind w:left="720"/>
        <w:rPr>
          <w:rFonts w:asciiTheme="majorHAnsi" w:hAnsiTheme="majorHAnsi" w:cs="Calibri"/>
          <w:sz w:val="22"/>
          <w:szCs w:val="22"/>
        </w:rPr>
      </w:pPr>
    </w:p>
    <w:p w14:paraId="66EFC3C9" w14:textId="3B5EC9B9" w:rsidR="003A52F8" w:rsidRPr="00A86B07" w:rsidRDefault="003A52F8" w:rsidP="003A52F8">
      <w:pPr>
        <w:pStyle w:val="Bodytext"/>
        <w:rPr>
          <w:rFonts w:asciiTheme="majorHAnsi" w:hAnsiTheme="majorHAnsi" w:cs="Calibri"/>
          <w:b/>
          <w:bCs/>
          <w:szCs w:val="24"/>
        </w:rPr>
      </w:pPr>
      <w:r w:rsidRPr="00A86B07">
        <w:rPr>
          <w:rFonts w:asciiTheme="majorHAnsi" w:hAnsiTheme="majorHAnsi" w:cs="Calibri"/>
          <w:b/>
          <w:bCs/>
          <w:szCs w:val="24"/>
        </w:rPr>
        <w:t>Your details</w:t>
      </w:r>
      <w:r w:rsidR="006941B3" w:rsidRPr="00A86B07">
        <w:rPr>
          <w:rFonts w:asciiTheme="majorHAnsi" w:hAnsiTheme="majorHAnsi" w:cs="Calibri"/>
          <w:b/>
          <w:bCs/>
          <w:szCs w:val="24"/>
        </w:rPr>
        <w:t>.</w:t>
      </w:r>
    </w:p>
    <w:p w14:paraId="369C057A" w14:textId="77777777" w:rsidR="00E30E3B" w:rsidRDefault="00E30E3B" w:rsidP="00E30E3B">
      <w:pPr>
        <w:pStyle w:val="Bodytext"/>
        <w:rPr>
          <w:rFonts w:asciiTheme="majorHAnsi" w:hAnsiTheme="majorHAnsi" w:cs="Calibri"/>
          <w:sz w:val="22"/>
          <w:szCs w:val="22"/>
        </w:rPr>
      </w:pPr>
      <w:r>
        <w:rPr>
          <w:rFonts w:asciiTheme="majorHAnsi" w:hAnsiTheme="majorHAnsi" w:cs="Calibri"/>
          <w:sz w:val="22"/>
          <w:szCs w:val="22"/>
        </w:rPr>
        <w:t>Full Name*</w:t>
      </w:r>
    </w:p>
    <w:p w14:paraId="3D38D58B" w14:textId="3FFAAC33" w:rsidR="00E30E3B" w:rsidRDefault="00E30E3B" w:rsidP="00E30E3B">
      <w:pPr>
        <w:pStyle w:val="Bodytext"/>
        <w:rPr>
          <w:rFonts w:asciiTheme="majorHAnsi" w:hAnsiTheme="majorHAnsi" w:cs="Calibri"/>
          <w:sz w:val="22"/>
          <w:szCs w:val="22"/>
        </w:rPr>
      </w:pPr>
      <w:r>
        <w:rPr>
          <w:rFonts w:asciiTheme="majorHAnsi" w:hAnsiTheme="majorHAnsi" w:cs="Calibri"/>
          <w:sz w:val="22"/>
          <w:szCs w:val="22"/>
        </w:rPr>
        <w:t>Organisation</w:t>
      </w:r>
      <w:r w:rsidR="00EE6970">
        <w:rPr>
          <w:rFonts w:asciiTheme="majorHAnsi" w:hAnsiTheme="majorHAnsi" w:cs="Calibri"/>
          <w:sz w:val="22"/>
          <w:szCs w:val="22"/>
        </w:rPr>
        <w:t>*</w:t>
      </w:r>
    </w:p>
    <w:p w14:paraId="1A8AFC27" w14:textId="77777777" w:rsidR="00E30E3B" w:rsidRDefault="00E30E3B" w:rsidP="00E30E3B">
      <w:pPr>
        <w:pStyle w:val="Bodytext"/>
        <w:rPr>
          <w:rFonts w:asciiTheme="majorHAnsi" w:hAnsiTheme="majorHAnsi" w:cs="Calibri"/>
          <w:sz w:val="22"/>
          <w:szCs w:val="22"/>
        </w:rPr>
      </w:pPr>
      <w:r>
        <w:rPr>
          <w:rFonts w:asciiTheme="majorHAnsi" w:hAnsiTheme="majorHAnsi" w:cs="Calibri"/>
          <w:sz w:val="22"/>
          <w:szCs w:val="22"/>
        </w:rPr>
        <w:t>Email address*</w:t>
      </w:r>
    </w:p>
    <w:p w14:paraId="20F17CF5" w14:textId="60F82E0C" w:rsidR="00E30E3B" w:rsidRDefault="00E30E3B" w:rsidP="00E30E3B">
      <w:pPr>
        <w:pStyle w:val="Bodytext"/>
        <w:rPr>
          <w:rFonts w:asciiTheme="majorHAnsi" w:hAnsiTheme="majorHAnsi" w:cs="Calibri"/>
          <w:sz w:val="22"/>
          <w:szCs w:val="22"/>
        </w:rPr>
      </w:pPr>
      <w:r>
        <w:rPr>
          <w:rFonts w:asciiTheme="majorHAnsi" w:hAnsiTheme="majorHAnsi" w:cs="Calibri"/>
          <w:sz w:val="22"/>
          <w:szCs w:val="22"/>
        </w:rPr>
        <w:t>Phone number</w:t>
      </w:r>
    </w:p>
    <w:p w14:paraId="2AEC0281" w14:textId="77777777" w:rsidR="000159A7" w:rsidRDefault="000159A7" w:rsidP="003A52F8">
      <w:pPr>
        <w:pStyle w:val="Bodytext"/>
        <w:rPr>
          <w:rFonts w:asciiTheme="majorHAnsi" w:hAnsiTheme="majorHAnsi" w:cs="Calibri"/>
          <w:sz w:val="22"/>
          <w:szCs w:val="22"/>
        </w:rPr>
      </w:pPr>
    </w:p>
    <w:p w14:paraId="080D2325" w14:textId="1FD4346D" w:rsidR="009D508B" w:rsidRPr="003828C8" w:rsidRDefault="009D508B" w:rsidP="003A52F8">
      <w:pPr>
        <w:pStyle w:val="Bodytext"/>
        <w:rPr>
          <w:rFonts w:asciiTheme="majorHAnsi" w:hAnsiTheme="majorHAnsi" w:cs="Calibri"/>
          <w:b/>
          <w:bCs/>
          <w:szCs w:val="24"/>
        </w:rPr>
      </w:pPr>
      <w:r w:rsidRPr="003828C8">
        <w:rPr>
          <w:rFonts w:asciiTheme="majorHAnsi" w:hAnsiTheme="majorHAnsi" w:cs="Calibri"/>
          <w:b/>
          <w:bCs/>
          <w:szCs w:val="24"/>
        </w:rPr>
        <w:t>Personal information consent</w:t>
      </w:r>
    </w:p>
    <w:p w14:paraId="7A537401" w14:textId="40CA1709" w:rsidR="009D508B" w:rsidRDefault="009D508B" w:rsidP="003A52F8">
      <w:pPr>
        <w:pStyle w:val="Bodytext"/>
        <w:rPr>
          <w:rFonts w:asciiTheme="majorHAnsi" w:hAnsiTheme="majorHAnsi" w:cs="Calibri"/>
          <w:sz w:val="22"/>
          <w:szCs w:val="22"/>
        </w:rPr>
      </w:pPr>
      <w:r>
        <w:rPr>
          <w:rFonts w:asciiTheme="majorHAnsi" w:hAnsiTheme="majorHAnsi" w:cs="Calibri"/>
          <w:sz w:val="22"/>
          <w:szCs w:val="22"/>
        </w:rPr>
        <w:t xml:space="preserve">I agree to my details being used for the purposes of my submission. I understand my data will be held </w:t>
      </w:r>
      <w:r w:rsidR="00321A2B">
        <w:rPr>
          <w:rFonts w:asciiTheme="majorHAnsi" w:hAnsiTheme="majorHAnsi" w:cs="Calibri"/>
          <w:sz w:val="22"/>
          <w:szCs w:val="22"/>
        </w:rPr>
        <w:t xml:space="preserve">securely. I have a right to change or access </w:t>
      </w:r>
      <w:r w:rsidR="007D5D06">
        <w:rPr>
          <w:rFonts w:asciiTheme="majorHAnsi" w:hAnsiTheme="majorHAnsi" w:cs="Calibri"/>
          <w:sz w:val="22"/>
          <w:szCs w:val="22"/>
        </w:rPr>
        <w:t xml:space="preserve">my information. </w:t>
      </w:r>
      <w:r w:rsidR="00CB457D">
        <w:rPr>
          <w:rFonts w:asciiTheme="majorHAnsi" w:hAnsiTheme="majorHAnsi" w:cs="Calibri"/>
          <w:sz w:val="22"/>
          <w:szCs w:val="22"/>
        </w:rPr>
        <w:t>(See</w:t>
      </w:r>
      <w:r w:rsidR="005A3A6D">
        <w:rPr>
          <w:rFonts w:asciiTheme="majorHAnsi" w:hAnsiTheme="majorHAnsi" w:cs="Calibri"/>
          <w:sz w:val="22"/>
          <w:szCs w:val="22"/>
        </w:rPr>
        <w:t xml:space="preserve"> our Privacy notice (/about-us/website-information/privacy/) for more details)</w:t>
      </w:r>
      <w:r w:rsidR="00321448">
        <w:rPr>
          <w:rFonts w:asciiTheme="majorHAnsi" w:hAnsiTheme="majorHAnsi" w:cs="Calibri"/>
          <w:sz w:val="22"/>
          <w:szCs w:val="22"/>
        </w:rPr>
        <w:t>.</w:t>
      </w:r>
    </w:p>
    <w:p w14:paraId="4381B018" w14:textId="77777777" w:rsidR="005A275A" w:rsidRDefault="005A275A" w:rsidP="005A275A">
      <w:pPr>
        <w:spacing w:after="160" w:line="259" w:lineRule="auto"/>
      </w:pPr>
      <w:r>
        <w:t>All submissions become public information and can be requested under the Official Information Act 1982 (OIA). Please indicate clearly if any parts of your submission are commercially sensitive, or if you have any other reasons for not wanting that information to be disclosed. We’ll consider this when making a decision in respect of any OIA requests. We cannot guarantee confidentiality in respect of any specific submissions.</w:t>
      </w:r>
    </w:p>
    <w:p w14:paraId="5C5E0D8E" w14:textId="12381001" w:rsidR="00B33D64" w:rsidRDefault="00CB457D" w:rsidP="000159A7">
      <w:pPr>
        <w:pStyle w:val="ListParagraph"/>
        <w:numPr>
          <w:ilvl w:val="0"/>
          <w:numId w:val="15"/>
        </w:numPr>
        <w:spacing w:after="160" w:line="259" w:lineRule="auto"/>
      </w:pPr>
      <w:r>
        <w:t xml:space="preserve">Yes, I understand and agree. </w:t>
      </w:r>
    </w:p>
    <w:p w14:paraId="42AA0B0F" w14:textId="77777777" w:rsidR="003828C8" w:rsidRDefault="003828C8" w:rsidP="003828C8">
      <w:pPr>
        <w:pStyle w:val="ListParagraph"/>
        <w:spacing w:after="160" w:line="259" w:lineRule="auto"/>
      </w:pPr>
    </w:p>
    <w:p w14:paraId="7EBF38CD" w14:textId="773FC04C" w:rsidR="000F184F" w:rsidRDefault="000F184F" w:rsidP="000159A7">
      <w:pPr>
        <w:pStyle w:val="ListParagraph"/>
        <w:numPr>
          <w:ilvl w:val="0"/>
          <w:numId w:val="15"/>
        </w:numPr>
        <w:spacing w:after="160" w:line="259" w:lineRule="auto"/>
      </w:pPr>
      <w:r>
        <w:t>I’m not a robot</w:t>
      </w:r>
    </w:p>
    <w:p w14:paraId="23DBDE0F" w14:textId="77777777" w:rsidR="003828C8" w:rsidRDefault="003828C8" w:rsidP="003828C8">
      <w:pPr>
        <w:pStyle w:val="ListParagraph"/>
      </w:pPr>
    </w:p>
    <w:p w14:paraId="02656173" w14:textId="59A318EA" w:rsidR="000F184F" w:rsidRDefault="000F184F" w:rsidP="000159A7">
      <w:pPr>
        <w:pStyle w:val="ListParagraph"/>
        <w:numPr>
          <w:ilvl w:val="0"/>
          <w:numId w:val="15"/>
        </w:numPr>
        <w:spacing w:after="160" w:line="259" w:lineRule="auto"/>
      </w:pPr>
      <w:r>
        <w:t>Submit</w:t>
      </w:r>
    </w:p>
    <w:p w14:paraId="3361A19C" w14:textId="7AC78CFF" w:rsidR="005A275A" w:rsidRPr="00216F9F" w:rsidRDefault="005A275A" w:rsidP="003A52F8">
      <w:pPr>
        <w:pStyle w:val="Bodytext"/>
        <w:rPr>
          <w:rFonts w:asciiTheme="majorHAnsi" w:hAnsiTheme="majorHAnsi" w:cs="Calibri"/>
          <w:sz w:val="22"/>
          <w:szCs w:val="22"/>
        </w:rPr>
      </w:pPr>
    </w:p>
    <w:sectPr w:rsidR="005A275A" w:rsidRPr="00216F9F" w:rsidSect="00CC739C">
      <w:pgSz w:w="11906" w:h="16838" w:code="9"/>
      <w:pgMar w:top="1418" w:right="1418" w:bottom="1418" w:left="1418" w:header="709" w:footer="709"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armond (W1)">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altName w:val="Calibr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op outline" style="width:9.75pt;height:9.7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" o:bullet="t">
        <v:imagedata r:id="rId1" o:title="" cropleft="-3413f"/>
      </v:shape>
    </w:pict>
  </w:numPicBullet>
  <w:abstractNum w:abstractNumId="0" w15:restartNumberingAfterBreak="0">
    <w:nsid w:val="08F4352A"/>
    <w:multiLevelType w:val="singleLevel"/>
    <w:tmpl w:val="A4CEE124"/>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1" w15:restartNumberingAfterBreak="0">
    <w:nsid w:val="19D524A0"/>
    <w:multiLevelType w:val="hybridMultilevel"/>
    <w:tmpl w:val="A9AA771A"/>
    <w:lvl w:ilvl="0" w:tplc="BEFA19C8">
      <w:start w:val="1"/>
      <w:numFmt w:val="bullet"/>
      <w:lvlText w:val=""/>
      <w:lvlPicBulletId w:val="0"/>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3FC30D5"/>
    <w:multiLevelType w:val="singleLevel"/>
    <w:tmpl w:val="EAE6FBDC"/>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3" w15:restartNumberingAfterBreak="0">
    <w:nsid w:val="2F0F08F3"/>
    <w:multiLevelType w:val="singleLevel"/>
    <w:tmpl w:val="40D0B898"/>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4" w15:restartNumberingAfterBreak="0">
    <w:nsid w:val="318D25F4"/>
    <w:multiLevelType w:val="hybridMultilevel"/>
    <w:tmpl w:val="64F6BDC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9511968"/>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6" w15:restartNumberingAfterBreak="0">
    <w:nsid w:val="396A48D8"/>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7" w15:restartNumberingAfterBreak="0">
    <w:nsid w:val="44885C29"/>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8" w15:restartNumberingAfterBreak="0">
    <w:nsid w:val="4C812EAE"/>
    <w:multiLevelType w:val="hybridMultilevel"/>
    <w:tmpl w:val="936C42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548D5B0B"/>
    <w:multiLevelType w:val="hybridMultilevel"/>
    <w:tmpl w:val="DF381CE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56A566E"/>
    <w:multiLevelType w:val="hybridMultilevel"/>
    <w:tmpl w:val="77A6A27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5E70E59"/>
    <w:multiLevelType w:val="multilevel"/>
    <w:tmpl w:val="9724D95C"/>
    <w:lvl w:ilvl="0">
      <w:start w:val="1"/>
      <w:numFmt w:val="bullet"/>
      <w:pStyle w:val="Listbullet"/>
      <w:lvlText w:val=""/>
      <w:lvlJc w:val="left"/>
      <w:pPr>
        <w:ind w:left="425" w:hanging="425"/>
      </w:pPr>
      <w:rPr>
        <w:rFonts w:ascii="Symbol" w:hAnsi="Symbol" w:hint="default"/>
        <w:color w:val="1B9DD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6EA6D10"/>
    <w:multiLevelType w:val="hybridMultilevel"/>
    <w:tmpl w:val="98021D7E"/>
    <w:lvl w:ilvl="0" w:tplc="BEFA19C8">
      <w:start w:val="1"/>
      <w:numFmt w:val="bullet"/>
      <w:lvlText w:val=""/>
      <w:lvlPicBulletId w:val="0"/>
      <w:lvlJc w:val="left"/>
      <w:pPr>
        <w:tabs>
          <w:tab w:val="num" w:pos="720"/>
        </w:tabs>
        <w:ind w:left="720" w:hanging="360"/>
      </w:pPr>
      <w:rPr>
        <w:rFonts w:ascii="Symbol" w:hAnsi="Symbol" w:hint="default"/>
      </w:rPr>
    </w:lvl>
    <w:lvl w:ilvl="1" w:tplc="76B2FB44" w:tentative="1">
      <w:start w:val="1"/>
      <w:numFmt w:val="bullet"/>
      <w:lvlText w:val=""/>
      <w:lvlJc w:val="left"/>
      <w:pPr>
        <w:tabs>
          <w:tab w:val="num" w:pos="1440"/>
        </w:tabs>
        <w:ind w:left="1440" w:hanging="360"/>
      </w:pPr>
      <w:rPr>
        <w:rFonts w:ascii="Symbol" w:hAnsi="Symbol" w:hint="default"/>
      </w:rPr>
    </w:lvl>
    <w:lvl w:ilvl="2" w:tplc="F0802032" w:tentative="1">
      <w:start w:val="1"/>
      <w:numFmt w:val="bullet"/>
      <w:lvlText w:val=""/>
      <w:lvlJc w:val="left"/>
      <w:pPr>
        <w:tabs>
          <w:tab w:val="num" w:pos="2160"/>
        </w:tabs>
        <w:ind w:left="2160" w:hanging="360"/>
      </w:pPr>
      <w:rPr>
        <w:rFonts w:ascii="Symbol" w:hAnsi="Symbol" w:hint="default"/>
      </w:rPr>
    </w:lvl>
    <w:lvl w:ilvl="3" w:tplc="7C0C3F18" w:tentative="1">
      <w:start w:val="1"/>
      <w:numFmt w:val="bullet"/>
      <w:lvlText w:val=""/>
      <w:lvlJc w:val="left"/>
      <w:pPr>
        <w:tabs>
          <w:tab w:val="num" w:pos="2880"/>
        </w:tabs>
        <w:ind w:left="2880" w:hanging="360"/>
      </w:pPr>
      <w:rPr>
        <w:rFonts w:ascii="Symbol" w:hAnsi="Symbol" w:hint="default"/>
      </w:rPr>
    </w:lvl>
    <w:lvl w:ilvl="4" w:tplc="C50CDEFA" w:tentative="1">
      <w:start w:val="1"/>
      <w:numFmt w:val="bullet"/>
      <w:lvlText w:val=""/>
      <w:lvlJc w:val="left"/>
      <w:pPr>
        <w:tabs>
          <w:tab w:val="num" w:pos="3600"/>
        </w:tabs>
        <w:ind w:left="3600" w:hanging="360"/>
      </w:pPr>
      <w:rPr>
        <w:rFonts w:ascii="Symbol" w:hAnsi="Symbol" w:hint="default"/>
      </w:rPr>
    </w:lvl>
    <w:lvl w:ilvl="5" w:tplc="C5306784" w:tentative="1">
      <w:start w:val="1"/>
      <w:numFmt w:val="bullet"/>
      <w:lvlText w:val=""/>
      <w:lvlJc w:val="left"/>
      <w:pPr>
        <w:tabs>
          <w:tab w:val="num" w:pos="4320"/>
        </w:tabs>
        <w:ind w:left="4320" w:hanging="360"/>
      </w:pPr>
      <w:rPr>
        <w:rFonts w:ascii="Symbol" w:hAnsi="Symbol" w:hint="default"/>
      </w:rPr>
    </w:lvl>
    <w:lvl w:ilvl="6" w:tplc="9F74B196" w:tentative="1">
      <w:start w:val="1"/>
      <w:numFmt w:val="bullet"/>
      <w:lvlText w:val=""/>
      <w:lvlJc w:val="left"/>
      <w:pPr>
        <w:tabs>
          <w:tab w:val="num" w:pos="5040"/>
        </w:tabs>
        <w:ind w:left="5040" w:hanging="360"/>
      </w:pPr>
      <w:rPr>
        <w:rFonts w:ascii="Symbol" w:hAnsi="Symbol" w:hint="default"/>
      </w:rPr>
    </w:lvl>
    <w:lvl w:ilvl="7" w:tplc="7F3E0338" w:tentative="1">
      <w:start w:val="1"/>
      <w:numFmt w:val="bullet"/>
      <w:lvlText w:val=""/>
      <w:lvlJc w:val="left"/>
      <w:pPr>
        <w:tabs>
          <w:tab w:val="num" w:pos="5760"/>
        </w:tabs>
        <w:ind w:left="5760" w:hanging="360"/>
      </w:pPr>
      <w:rPr>
        <w:rFonts w:ascii="Symbol" w:hAnsi="Symbol" w:hint="default"/>
      </w:rPr>
    </w:lvl>
    <w:lvl w:ilvl="8" w:tplc="D396CFB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BC119B6"/>
    <w:multiLevelType w:val="hybridMultilevel"/>
    <w:tmpl w:val="0D50F6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CDF795E"/>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num w:numId="1" w16cid:durableId="1526598532">
    <w:abstractNumId w:val="3"/>
  </w:num>
  <w:num w:numId="2" w16cid:durableId="2132279660">
    <w:abstractNumId w:val="2"/>
  </w:num>
  <w:num w:numId="3" w16cid:durableId="785462738">
    <w:abstractNumId w:val="0"/>
  </w:num>
  <w:num w:numId="4" w16cid:durableId="1332682404">
    <w:abstractNumId w:val="6"/>
  </w:num>
  <w:num w:numId="5" w16cid:durableId="1465079231">
    <w:abstractNumId w:val="5"/>
  </w:num>
  <w:num w:numId="6" w16cid:durableId="1372851120">
    <w:abstractNumId w:val="14"/>
  </w:num>
  <w:num w:numId="7" w16cid:durableId="1532719055">
    <w:abstractNumId w:val="7"/>
  </w:num>
  <w:num w:numId="8" w16cid:durableId="1288703821">
    <w:abstractNumId w:val="4"/>
  </w:num>
  <w:num w:numId="9" w16cid:durableId="508494315">
    <w:abstractNumId w:val="9"/>
  </w:num>
  <w:num w:numId="10" w16cid:durableId="845821862">
    <w:abstractNumId w:val="11"/>
  </w:num>
  <w:num w:numId="11" w16cid:durableId="937373006">
    <w:abstractNumId w:val="8"/>
  </w:num>
  <w:num w:numId="12" w16cid:durableId="1540126747">
    <w:abstractNumId w:val="13"/>
  </w:num>
  <w:num w:numId="13" w16cid:durableId="1753090119">
    <w:abstractNumId w:val="10"/>
  </w:num>
  <w:num w:numId="14" w16cid:durableId="1855341226">
    <w:abstractNumId w:val="12"/>
  </w:num>
  <w:num w:numId="15" w16cid:durableId="1969511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activeWritingStyle w:appName="MSWord" w:lang="en-NZ" w:vendorID="64" w:dllVersion="6" w:nlCheck="1" w:checkStyle="1"/>
  <w:activeWritingStyle w:appName="MSWord" w:lang="en-US" w:vendorID="64" w:dllVersion="6" w:nlCheck="1" w:checkStyle="1"/>
  <w:activeWritingStyle w:appName="MSWord" w:lang="en-AU" w:vendorID="64" w:dllVersion="6" w:nlCheck="1" w:checkStyle="1"/>
  <w:activeWritingStyle w:appName="MSWord" w:lang="en-NZ"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B13689"/>
    <w:rsid w:val="0000107A"/>
    <w:rsid w:val="00007534"/>
    <w:rsid w:val="000159A7"/>
    <w:rsid w:val="00040AD8"/>
    <w:rsid w:val="00042297"/>
    <w:rsid w:val="0005031A"/>
    <w:rsid w:val="00055EBE"/>
    <w:rsid w:val="00081324"/>
    <w:rsid w:val="00090144"/>
    <w:rsid w:val="000C0C7F"/>
    <w:rsid w:val="000D3FB5"/>
    <w:rsid w:val="000E1E8B"/>
    <w:rsid w:val="000E38E1"/>
    <w:rsid w:val="000F184F"/>
    <w:rsid w:val="00110438"/>
    <w:rsid w:val="001134FE"/>
    <w:rsid w:val="00113F57"/>
    <w:rsid w:val="0012285E"/>
    <w:rsid w:val="00136C67"/>
    <w:rsid w:val="00161A29"/>
    <w:rsid w:val="00167187"/>
    <w:rsid w:val="00173647"/>
    <w:rsid w:val="001767C6"/>
    <w:rsid w:val="001A5FE1"/>
    <w:rsid w:val="001B407D"/>
    <w:rsid w:val="001E42ED"/>
    <w:rsid w:val="00215F6A"/>
    <w:rsid w:val="00216F9F"/>
    <w:rsid w:val="00221265"/>
    <w:rsid w:val="002604DC"/>
    <w:rsid w:val="00272C80"/>
    <w:rsid w:val="00283A30"/>
    <w:rsid w:val="002A5778"/>
    <w:rsid w:val="002B06AA"/>
    <w:rsid w:val="002C1FF8"/>
    <w:rsid w:val="00311481"/>
    <w:rsid w:val="003209AB"/>
    <w:rsid w:val="00321448"/>
    <w:rsid w:val="00321A2B"/>
    <w:rsid w:val="00324F51"/>
    <w:rsid w:val="00340ABF"/>
    <w:rsid w:val="00347D71"/>
    <w:rsid w:val="003513DA"/>
    <w:rsid w:val="00353E9C"/>
    <w:rsid w:val="00373CF1"/>
    <w:rsid w:val="003828C8"/>
    <w:rsid w:val="00385354"/>
    <w:rsid w:val="00387038"/>
    <w:rsid w:val="00397AD1"/>
    <w:rsid w:val="003A52F8"/>
    <w:rsid w:val="003D4A78"/>
    <w:rsid w:val="003E40CE"/>
    <w:rsid w:val="003F4663"/>
    <w:rsid w:val="004004C9"/>
    <w:rsid w:val="004067ED"/>
    <w:rsid w:val="00411C35"/>
    <w:rsid w:val="00414482"/>
    <w:rsid w:val="00422F1D"/>
    <w:rsid w:val="004357A3"/>
    <w:rsid w:val="00436A08"/>
    <w:rsid w:val="00443945"/>
    <w:rsid w:val="0045781F"/>
    <w:rsid w:val="00460303"/>
    <w:rsid w:val="004678AE"/>
    <w:rsid w:val="00476E76"/>
    <w:rsid w:val="004A4AAA"/>
    <w:rsid w:val="004C3474"/>
    <w:rsid w:val="004F0295"/>
    <w:rsid w:val="004F1701"/>
    <w:rsid w:val="004F2254"/>
    <w:rsid w:val="00505828"/>
    <w:rsid w:val="0051223B"/>
    <w:rsid w:val="00550FEF"/>
    <w:rsid w:val="00561E7C"/>
    <w:rsid w:val="00573583"/>
    <w:rsid w:val="00595CE5"/>
    <w:rsid w:val="005A275A"/>
    <w:rsid w:val="005A3A6D"/>
    <w:rsid w:val="005C576D"/>
    <w:rsid w:val="005E6547"/>
    <w:rsid w:val="006035D2"/>
    <w:rsid w:val="00611FAD"/>
    <w:rsid w:val="00650DC6"/>
    <w:rsid w:val="006631A9"/>
    <w:rsid w:val="00663780"/>
    <w:rsid w:val="006941B3"/>
    <w:rsid w:val="006A137C"/>
    <w:rsid w:val="006B5105"/>
    <w:rsid w:val="006D094B"/>
    <w:rsid w:val="006F561F"/>
    <w:rsid w:val="006F736E"/>
    <w:rsid w:val="00717FDF"/>
    <w:rsid w:val="007227AB"/>
    <w:rsid w:val="00734AB4"/>
    <w:rsid w:val="00757917"/>
    <w:rsid w:val="00761D7B"/>
    <w:rsid w:val="00785675"/>
    <w:rsid w:val="007A67A7"/>
    <w:rsid w:val="007C4CFD"/>
    <w:rsid w:val="007C56CD"/>
    <w:rsid w:val="007D2A4F"/>
    <w:rsid w:val="007D5D06"/>
    <w:rsid w:val="007F2B85"/>
    <w:rsid w:val="007F5965"/>
    <w:rsid w:val="008655C8"/>
    <w:rsid w:val="00883D33"/>
    <w:rsid w:val="008869B0"/>
    <w:rsid w:val="008B5470"/>
    <w:rsid w:val="008D4BD9"/>
    <w:rsid w:val="008F3FF2"/>
    <w:rsid w:val="00915115"/>
    <w:rsid w:val="00945036"/>
    <w:rsid w:val="00954E64"/>
    <w:rsid w:val="00960FEB"/>
    <w:rsid w:val="009721B4"/>
    <w:rsid w:val="00972476"/>
    <w:rsid w:val="00976260"/>
    <w:rsid w:val="00976EAC"/>
    <w:rsid w:val="00981DC4"/>
    <w:rsid w:val="009B00CB"/>
    <w:rsid w:val="009B3A71"/>
    <w:rsid w:val="009B4821"/>
    <w:rsid w:val="009D0FDC"/>
    <w:rsid w:val="009D508B"/>
    <w:rsid w:val="009E467D"/>
    <w:rsid w:val="009F0C32"/>
    <w:rsid w:val="009F35D0"/>
    <w:rsid w:val="00A05076"/>
    <w:rsid w:val="00A227E6"/>
    <w:rsid w:val="00A350D6"/>
    <w:rsid w:val="00A45827"/>
    <w:rsid w:val="00A72A8D"/>
    <w:rsid w:val="00A73117"/>
    <w:rsid w:val="00A86B07"/>
    <w:rsid w:val="00A91771"/>
    <w:rsid w:val="00A970B8"/>
    <w:rsid w:val="00AB29AF"/>
    <w:rsid w:val="00AD5B6E"/>
    <w:rsid w:val="00AE01AE"/>
    <w:rsid w:val="00AE0FFD"/>
    <w:rsid w:val="00AE470C"/>
    <w:rsid w:val="00B13689"/>
    <w:rsid w:val="00B33D64"/>
    <w:rsid w:val="00B43B3D"/>
    <w:rsid w:val="00B441B9"/>
    <w:rsid w:val="00B57E1A"/>
    <w:rsid w:val="00B73B52"/>
    <w:rsid w:val="00B81999"/>
    <w:rsid w:val="00B82003"/>
    <w:rsid w:val="00B92B1D"/>
    <w:rsid w:val="00B95D67"/>
    <w:rsid w:val="00B97519"/>
    <w:rsid w:val="00BA5A99"/>
    <w:rsid w:val="00BC3FDD"/>
    <w:rsid w:val="00BC6CFC"/>
    <w:rsid w:val="00BE6A93"/>
    <w:rsid w:val="00C006F1"/>
    <w:rsid w:val="00C416D1"/>
    <w:rsid w:val="00C44F96"/>
    <w:rsid w:val="00C579EB"/>
    <w:rsid w:val="00C750A1"/>
    <w:rsid w:val="00C81216"/>
    <w:rsid w:val="00CB457D"/>
    <w:rsid w:val="00CC739C"/>
    <w:rsid w:val="00CD5910"/>
    <w:rsid w:val="00CE4FDA"/>
    <w:rsid w:val="00D137C8"/>
    <w:rsid w:val="00D3220E"/>
    <w:rsid w:val="00D5699E"/>
    <w:rsid w:val="00D62944"/>
    <w:rsid w:val="00D8322B"/>
    <w:rsid w:val="00DC318F"/>
    <w:rsid w:val="00DC5846"/>
    <w:rsid w:val="00DD4099"/>
    <w:rsid w:val="00DD4AC1"/>
    <w:rsid w:val="00DF587F"/>
    <w:rsid w:val="00E0153C"/>
    <w:rsid w:val="00E06B46"/>
    <w:rsid w:val="00E07D0D"/>
    <w:rsid w:val="00E21152"/>
    <w:rsid w:val="00E22ABB"/>
    <w:rsid w:val="00E30E3B"/>
    <w:rsid w:val="00E33849"/>
    <w:rsid w:val="00E732A5"/>
    <w:rsid w:val="00E740EE"/>
    <w:rsid w:val="00E76F1E"/>
    <w:rsid w:val="00E94B6A"/>
    <w:rsid w:val="00EA4BE2"/>
    <w:rsid w:val="00EA6FE8"/>
    <w:rsid w:val="00EB0A10"/>
    <w:rsid w:val="00EC155D"/>
    <w:rsid w:val="00ED724A"/>
    <w:rsid w:val="00EE6970"/>
    <w:rsid w:val="00EF59F6"/>
    <w:rsid w:val="00F17E63"/>
    <w:rsid w:val="00F2760A"/>
    <w:rsid w:val="00F7663C"/>
    <w:rsid w:val="00F94953"/>
    <w:rsid w:val="00FA2760"/>
    <w:rsid w:val="00FC1B05"/>
    <w:rsid w:val="00FE2B9E"/>
    <w:rsid w:val="00FE35D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1367A3B"/>
  <w15:chartTrackingRefBased/>
  <w15:docId w15:val="{6F6E46E4-87B9-48D8-AD4B-2009D6CD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5DA"/>
    <w:pPr>
      <w:spacing w:after="200" w:line="264" w:lineRule="auto"/>
    </w:pPr>
    <w:rPr>
      <w:rFonts w:asciiTheme="minorHAnsi" w:eastAsiaTheme="minorHAnsi" w:hAnsiTheme="minorHAnsi" w:cstheme="minorBidi"/>
      <w:sz w:val="22"/>
      <w:szCs w:val="22"/>
      <w:lang w:eastAsia="en-US"/>
    </w:rPr>
  </w:style>
  <w:style w:type="paragraph" w:styleId="Heading1">
    <w:name w:val="heading 1"/>
    <w:next w:val="Heading2"/>
    <w:qFormat/>
    <w:rsid w:val="00573583"/>
    <w:pPr>
      <w:keepNext/>
      <w:tabs>
        <w:tab w:val="left" w:pos="709"/>
      </w:tabs>
      <w:spacing w:before="240" w:after="120"/>
      <w:outlineLvl w:val="0"/>
    </w:pPr>
    <w:rPr>
      <w:rFonts w:ascii="Arial" w:hAnsi="Arial"/>
      <w:b/>
      <w:sz w:val="28"/>
      <w:lang w:eastAsia="en-US"/>
    </w:rPr>
  </w:style>
  <w:style w:type="paragraph" w:styleId="Heading2">
    <w:name w:val="heading 2"/>
    <w:next w:val="Heading3"/>
    <w:qFormat/>
    <w:rsid w:val="00573583"/>
    <w:pPr>
      <w:spacing w:before="120" w:after="80"/>
      <w:outlineLvl w:val="1"/>
    </w:pPr>
    <w:rPr>
      <w:rFonts w:ascii="Arial" w:hAnsi="Arial"/>
      <w:b/>
      <w:sz w:val="24"/>
      <w:lang w:eastAsia="en-US"/>
    </w:rPr>
  </w:style>
  <w:style w:type="paragraph" w:styleId="Heading3">
    <w:name w:val="heading 3"/>
    <w:next w:val="Bodytext"/>
    <w:qFormat/>
    <w:rsid w:val="00573583"/>
    <w:pPr>
      <w:spacing w:before="120" w:after="80"/>
      <w:outlineLvl w:val="2"/>
    </w:pPr>
    <w:rPr>
      <w:rFonts w:ascii="Arial" w:hAnsi="Arial"/>
      <w:b/>
      <w:sz w:val="22"/>
      <w:lang w:eastAsia="en-US"/>
    </w:rPr>
  </w:style>
  <w:style w:type="paragraph" w:styleId="Heading4">
    <w:name w:val="heading 4"/>
    <w:next w:val="Bodytext"/>
    <w:qFormat/>
    <w:rsid w:val="00573583"/>
    <w:pPr>
      <w:keepNext/>
      <w:tabs>
        <w:tab w:val="left" w:pos="709"/>
      </w:tabs>
      <w:spacing w:after="60"/>
      <w:outlineLvl w:val="3"/>
    </w:pPr>
    <w:rPr>
      <w:b/>
      <w:bCs/>
      <w:i/>
      <w:iCs/>
      <w:sz w:val="24"/>
      <w:lang w:eastAsia="en-US"/>
    </w:rPr>
  </w:style>
  <w:style w:type="paragraph" w:styleId="Heading5">
    <w:name w:val="heading 5"/>
    <w:basedOn w:val="Normal"/>
    <w:next w:val="Bodytext"/>
    <w:qFormat/>
    <w:rsid w:val="004F1701"/>
    <w:pPr>
      <w:outlineLvl w:val="4"/>
    </w:pPr>
    <w:rPr>
      <w:b/>
      <w:lang w:val="en-GB"/>
    </w:rPr>
  </w:style>
  <w:style w:type="paragraph" w:styleId="Heading6">
    <w:name w:val="heading 6"/>
    <w:basedOn w:val="Normal"/>
    <w:next w:val="NormalIndent"/>
    <w:qFormat/>
    <w:rsid w:val="004F1701"/>
    <w:pPr>
      <w:ind w:left="720"/>
      <w:outlineLvl w:val="5"/>
    </w:pPr>
    <w:rPr>
      <w:u w:val="single"/>
      <w:lang w:val="en-GB"/>
    </w:rPr>
  </w:style>
  <w:style w:type="paragraph" w:styleId="Heading7">
    <w:name w:val="heading 7"/>
    <w:basedOn w:val="Normal"/>
    <w:next w:val="NormalIndent"/>
    <w:qFormat/>
    <w:rsid w:val="004F1701"/>
    <w:pPr>
      <w:ind w:left="720"/>
      <w:outlineLvl w:val="6"/>
    </w:pPr>
    <w:rPr>
      <w:i/>
      <w:lang w:val="en-GB"/>
    </w:rPr>
  </w:style>
  <w:style w:type="paragraph" w:styleId="Heading8">
    <w:name w:val="heading 8"/>
    <w:basedOn w:val="Normal"/>
    <w:next w:val="NormalIndent"/>
    <w:qFormat/>
    <w:rsid w:val="004F1701"/>
    <w:pPr>
      <w:ind w:left="720"/>
      <w:outlineLvl w:val="7"/>
    </w:pPr>
    <w:rPr>
      <w:i/>
      <w:lang w:val="en-GB"/>
    </w:rPr>
  </w:style>
  <w:style w:type="paragraph" w:styleId="Heading9">
    <w:name w:val="heading 9"/>
    <w:basedOn w:val="Normal"/>
    <w:next w:val="NormalIndent"/>
    <w:qFormat/>
    <w:rsid w:val="004F1701"/>
    <w:pPr>
      <w:ind w:left="72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rsid w:val="00573583"/>
    <w:pPr>
      <w:tabs>
        <w:tab w:val="left" w:pos="709"/>
      </w:tabs>
      <w:spacing w:after="200"/>
    </w:pPr>
    <w:rPr>
      <w:sz w:val="24"/>
      <w:lang w:eastAsia="en-US"/>
    </w:rPr>
  </w:style>
  <w:style w:type="paragraph" w:styleId="NormalIndent">
    <w:name w:val="Normal Indent"/>
    <w:basedOn w:val="Normal"/>
    <w:rsid w:val="004F1701"/>
    <w:pPr>
      <w:ind w:left="567"/>
    </w:pPr>
  </w:style>
  <w:style w:type="paragraph" w:customStyle="1" w:styleId="BodytextIndent">
    <w:name w:val="Bodytext Indent"/>
    <w:basedOn w:val="NormalIndent"/>
    <w:rsid w:val="004F1701"/>
  </w:style>
  <w:style w:type="paragraph" w:customStyle="1" w:styleId="Bodytextlist">
    <w:name w:val="Bodytextlist"/>
    <w:basedOn w:val="Bodytext"/>
    <w:rsid w:val="004F1701"/>
    <w:pPr>
      <w:spacing w:after="0"/>
    </w:pPr>
  </w:style>
  <w:style w:type="paragraph" w:customStyle="1" w:styleId="Bulleta">
    <w:name w:val="Bullet(a)"/>
    <w:basedOn w:val="Bodytext"/>
    <w:rsid w:val="0000107A"/>
    <w:pPr>
      <w:numPr>
        <w:numId w:val="1"/>
      </w:numPr>
      <w:tabs>
        <w:tab w:val="clear" w:pos="360"/>
        <w:tab w:val="clear" w:pos="709"/>
        <w:tab w:val="num" w:pos="993"/>
      </w:tabs>
      <w:spacing w:after="120"/>
      <w:ind w:left="993" w:hanging="284"/>
    </w:pPr>
    <w:rPr>
      <w:lang w:val="en-US"/>
    </w:rPr>
  </w:style>
  <w:style w:type="paragraph" w:customStyle="1" w:styleId="Bulleti">
    <w:name w:val="Bullet(i)"/>
    <w:basedOn w:val="Bodytext"/>
    <w:autoRedefine/>
    <w:rsid w:val="00573583"/>
    <w:pPr>
      <w:numPr>
        <w:numId w:val="2"/>
      </w:numPr>
      <w:tabs>
        <w:tab w:val="clear" w:pos="360"/>
        <w:tab w:val="clear" w:pos="709"/>
        <w:tab w:val="num" w:pos="1843"/>
      </w:tabs>
      <w:spacing w:after="120"/>
      <w:ind w:left="1843" w:hanging="283"/>
    </w:pPr>
  </w:style>
  <w:style w:type="paragraph" w:customStyle="1" w:styleId="BulletBodytext">
    <w:name w:val="BulletBodytext"/>
    <w:basedOn w:val="Bodytext"/>
    <w:rsid w:val="00573583"/>
    <w:pPr>
      <w:numPr>
        <w:numId w:val="3"/>
      </w:numPr>
      <w:tabs>
        <w:tab w:val="clear" w:pos="709"/>
        <w:tab w:val="clear" w:pos="851"/>
        <w:tab w:val="num" w:pos="284"/>
      </w:tabs>
      <w:spacing w:after="120"/>
      <w:ind w:left="284" w:right="-425" w:hanging="284"/>
    </w:pPr>
  </w:style>
  <w:style w:type="character" w:styleId="CommentReference">
    <w:name w:val="annotation reference"/>
    <w:basedOn w:val="DefaultParagraphFont"/>
    <w:semiHidden/>
    <w:rsid w:val="004F1701"/>
    <w:rPr>
      <w:sz w:val="16"/>
    </w:rPr>
  </w:style>
  <w:style w:type="paragraph" w:styleId="CommentText">
    <w:name w:val="annotation text"/>
    <w:basedOn w:val="Normal"/>
    <w:semiHidden/>
    <w:rsid w:val="004F1701"/>
  </w:style>
  <w:style w:type="paragraph" w:styleId="Date">
    <w:name w:val="Date"/>
    <w:basedOn w:val="Normal"/>
    <w:rsid w:val="004F1701"/>
    <w:rPr>
      <w:lang w:val="en-GB"/>
    </w:rPr>
  </w:style>
  <w:style w:type="paragraph" w:styleId="EnvelopeAddress">
    <w:name w:val="envelope address"/>
    <w:basedOn w:val="Normal"/>
    <w:rsid w:val="004F1701"/>
    <w:pPr>
      <w:framePr w:w="7920" w:h="1980" w:hRule="exact" w:hSpace="180" w:wrap="auto" w:hAnchor="page" w:xAlign="center" w:yAlign="bottom"/>
      <w:spacing w:after="0"/>
      <w:ind w:left="2880"/>
    </w:pPr>
    <w:rPr>
      <w:lang w:val="en-GB"/>
    </w:rPr>
  </w:style>
  <w:style w:type="paragraph" w:styleId="EnvelopeReturn">
    <w:name w:val="envelope return"/>
    <w:basedOn w:val="Normal"/>
    <w:rsid w:val="004F1701"/>
    <w:pPr>
      <w:spacing w:after="0"/>
    </w:pPr>
    <w:rPr>
      <w:sz w:val="20"/>
      <w:lang w:val="en-GB"/>
    </w:rPr>
  </w:style>
  <w:style w:type="paragraph" w:styleId="Footer">
    <w:name w:val="footer"/>
    <w:basedOn w:val="Normal"/>
    <w:rsid w:val="004F1701"/>
    <w:pPr>
      <w:tabs>
        <w:tab w:val="right" w:pos="8789"/>
      </w:tabs>
      <w:spacing w:after="0"/>
    </w:pPr>
    <w:rPr>
      <w:i/>
      <w:sz w:val="20"/>
      <w:lang w:val="en-GB"/>
    </w:rPr>
  </w:style>
  <w:style w:type="character" w:styleId="FootnoteReference">
    <w:name w:val="footnote reference"/>
    <w:basedOn w:val="DefaultParagraphFont"/>
    <w:semiHidden/>
    <w:rsid w:val="004F1701"/>
    <w:rPr>
      <w:position w:val="6"/>
      <w:sz w:val="16"/>
    </w:rPr>
  </w:style>
  <w:style w:type="paragraph" w:styleId="FootnoteText">
    <w:name w:val="footnote text"/>
    <w:basedOn w:val="Normal"/>
    <w:semiHidden/>
    <w:rsid w:val="004F1701"/>
    <w:rPr>
      <w:lang w:val="en-GB"/>
    </w:rPr>
  </w:style>
  <w:style w:type="paragraph" w:styleId="Header">
    <w:name w:val="header"/>
    <w:basedOn w:val="Normal"/>
    <w:rsid w:val="004F1701"/>
    <w:pPr>
      <w:tabs>
        <w:tab w:val="right" w:pos="8789"/>
      </w:tabs>
      <w:spacing w:after="0"/>
      <w:jc w:val="right"/>
    </w:pPr>
    <w:rPr>
      <w:i/>
      <w:sz w:val="20"/>
      <w:lang w:val="en-GB"/>
    </w:rPr>
  </w:style>
  <w:style w:type="paragraph" w:customStyle="1" w:styleId="Headline">
    <w:name w:val="Headline"/>
    <w:basedOn w:val="Normal"/>
    <w:next w:val="Heading1"/>
    <w:rsid w:val="004F1701"/>
    <w:pPr>
      <w:spacing w:after="720"/>
      <w:jc w:val="center"/>
    </w:pPr>
    <w:rPr>
      <w:rFonts w:ascii="Arial" w:hAnsi="Arial"/>
      <w:b/>
      <w:caps/>
      <w:color w:val="000000"/>
      <w:sz w:val="32"/>
      <w:lang w:val="en-GB"/>
    </w:rPr>
  </w:style>
  <w:style w:type="paragraph" w:styleId="Index1">
    <w:name w:val="index 1"/>
    <w:basedOn w:val="Normal"/>
    <w:next w:val="Normal"/>
    <w:semiHidden/>
    <w:rsid w:val="004F1701"/>
    <w:rPr>
      <w:lang w:val="en-GB"/>
    </w:rPr>
  </w:style>
  <w:style w:type="paragraph" w:styleId="Index2">
    <w:name w:val="index 2"/>
    <w:basedOn w:val="Normal"/>
    <w:next w:val="Normal"/>
    <w:semiHidden/>
    <w:rsid w:val="004F1701"/>
    <w:pPr>
      <w:ind w:left="360"/>
    </w:pPr>
    <w:rPr>
      <w:lang w:val="en-GB"/>
    </w:rPr>
  </w:style>
  <w:style w:type="paragraph" w:styleId="Index3">
    <w:name w:val="index 3"/>
    <w:basedOn w:val="Normal"/>
    <w:next w:val="Normal"/>
    <w:semiHidden/>
    <w:rsid w:val="004F1701"/>
    <w:pPr>
      <w:ind w:left="720"/>
    </w:pPr>
    <w:rPr>
      <w:lang w:val="en-GB"/>
    </w:rPr>
  </w:style>
  <w:style w:type="paragraph" w:styleId="Index4">
    <w:name w:val="index 4"/>
    <w:basedOn w:val="Normal"/>
    <w:next w:val="Normal"/>
    <w:semiHidden/>
    <w:rsid w:val="004F1701"/>
    <w:pPr>
      <w:ind w:left="1080"/>
    </w:pPr>
    <w:rPr>
      <w:lang w:val="en-GB"/>
    </w:rPr>
  </w:style>
  <w:style w:type="paragraph" w:styleId="Index5">
    <w:name w:val="index 5"/>
    <w:basedOn w:val="Normal"/>
    <w:next w:val="Normal"/>
    <w:semiHidden/>
    <w:rsid w:val="004F1701"/>
    <w:pPr>
      <w:ind w:left="1440"/>
    </w:pPr>
    <w:rPr>
      <w:lang w:val="en-GB"/>
    </w:rPr>
  </w:style>
  <w:style w:type="paragraph" w:styleId="Index6">
    <w:name w:val="index 6"/>
    <w:basedOn w:val="Normal"/>
    <w:next w:val="Normal"/>
    <w:semiHidden/>
    <w:rsid w:val="004F1701"/>
    <w:pPr>
      <w:ind w:left="1800"/>
    </w:pPr>
    <w:rPr>
      <w:lang w:val="en-GB"/>
    </w:rPr>
  </w:style>
  <w:style w:type="paragraph" w:styleId="Index7">
    <w:name w:val="index 7"/>
    <w:basedOn w:val="Normal"/>
    <w:next w:val="Normal"/>
    <w:semiHidden/>
    <w:rsid w:val="004F1701"/>
    <w:pPr>
      <w:ind w:left="2160"/>
    </w:pPr>
    <w:rPr>
      <w:lang w:val="en-GB"/>
    </w:rPr>
  </w:style>
  <w:style w:type="paragraph" w:styleId="IndexHeading">
    <w:name w:val="index heading"/>
    <w:basedOn w:val="Normal"/>
    <w:next w:val="Index1"/>
    <w:semiHidden/>
    <w:rsid w:val="004F1701"/>
    <w:rPr>
      <w:lang w:val="en-GB"/>
    </w:rPr>
  </w:style>
  <w:style w:type="paragraph" w:styleId="MacroText">
    <w:name w:val="macro"/>
    <w:semiHidden/>
    <w:rsid w:val="004F1701"/>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rsid w:val="004F1701"/>
    <w:pPr>
      <w:spacing w:before="720" w:after="0"/>
    </w:pPr>
  </w:style>
  <w:style w:type="paragraph" w:customStyle="1" w:styleId="Numbera">
    <w:name w:val="Number(a)"/>
    <w:basedOn w:val="Bodytext"/>
    <w:rsid w:val="004F1701"/>
    <w:pPr>
      <w:spacing w:after="120"/>
      <w:ind w:left="993" w:hanging="284"/>
    </w:pPr>
  </w:style>
  <w:style w:type="paragraph" w:customStyle="1" w:styleId="Numberi">
    <w:name w:val="Number(i)"/>
    <w:basedOn w:val="Bulleti"/>
    <w:rsid w:val="004F1701"/>
    <w:pPr>
      <w:ind w:left="1985" w:hanging="425"/>
    </w:pPr>
  </w:style>
  <w:style w:type="paragraph" w:customStyle="1" w:styleId="NumberBodytxt">
    <w:name w:val="NumberBodytxt"/>
    <w:basedOn w:val="BulletBodytext"/>
    <w:rsid w:val="004F1701"/>
    <w:pPr>
      <w:ind w:left="426"/>
    </w:pPr>
  </w:style>
  <w:style w:type="character" w:styleId="PageNumber">
    <w:name w:val="page number"/>
    <w:basedOn w:val="DefaultParagraphFont"/>
    <w:rsid w:val="004F1701"/>
    <w:rPr>
      <w:rFonts w:ascii="Times New Roman" w:hAnsi="Times New Roman"/>
      <w:i/>
      <w:sz w:val="18"/>
    </w:rPr>
  </w:style>
  <w:style w:type="character" w:customStyle="1" w:styleId="PersonalComposeStyle">
    <w:name w:val="Personal Compose Style"/>
    <w:basedOn w:val="DefaultParagraphFont"/>
    <w:rsid w:val="004F1701"/>
    <w:rPr>
      <w:rFonts w:ascii="Arial" w:hAnsi="Arial" w:cs="Arial"/>
      <w:color w:val="auto"/>
      <w:sz w:val="20"/>
    </w:rPr>
  </w:style>
  <w:style w:type="character" w:customStyle="1" w:styleId="PersonalReplyStyle">
    <w:name w:val="Personal Reply Style"/>
    <w:basedOn w:val="DefaultParagraphFont"/>
    <w:rsid w:val="004F1701"/>
    <w:rPr>
      <w:rFonts w:ascii="Arial" w:hAnsi="Arial" w:cs="Arial"/>
      <w:color w:val="auto"/>
      <w:sz w:val="20"/>
    </w:rPr>
  </w:style>
  <w:style w:type="paragraph" w:customStyle="1" w:styleId="Position">
    <w:name w:val="Position"/>
    <w:basedOn w:val="Bodytext"/>
    <w:rsid w:val="004F1701"/>
  </w:style>
  <w:style w:type="paragraph" w:styleId="Title">
    <w:name w:val="Title"/>
    <w:basedOn w:val="Heading1"/>
    <w:next w:val="Normal"/>
    <w:qFormat/>
    <w:rsid w:val="004F1701"/>
    <w:pPr>
      <w:keepNext w:val="0"/>
      <w:pBdr>
        <w:top w:val="single" w:sz="48" w:space="1" w:color="auto"/>
      </w:pBdr>
      <w:spacing w:before="3840"/>
      <w:jc w:val="right"/>
      <w:outlineLvl w:val="9"/>
    </w:pPr>
    <w:rPr>
      <w:sz w:val="60"/>
    </w:rPr>
  </w:style>
  <w:style w:type="paragraph" w:customStyle="1" w:styleId="Subtitle1">
    <w:name w:val="Subtitle1"/>
    <w:basedOn w:val="Title"/>
    <w:next w:val="Normal"/>
    <w:rsid w:val="004F1701"/>
    <w:pPr>
      <w:spacing w:before="0" w:after="240"/>
    </w:pPr>
  </w:style>
  <w:style w:type="paragraph" w:customStyle="1" w:styleId="Titlepage">
    <w:name w:val="Titlepage"/>
    <w:basedOn w:val="Bodytext"/>
    <w:rsid w:val="004F1701"/>
    <w:pPr>
      <w:spacing w:before="1920" w:line="480" w:lineRule="atLeast"/>
      <w:ind w:right="1276"/>
      <w:jc w:val="right"/>
    </w:pPr>
    <w:rPr>
      <w:rFonts w:ascii="Arial" w:hAnsi="Arial"/>
      <w:b/>
      <w:sz w:val="80"/>
    </w:rPr>
  </w:style>
  <w:style w:type="paragraph" w:styleId="TOC1">
    <w:name w:val="toc 1"/>
    <w:basedOn w:val="Normal"/>
    <w:next w:val="TOC2"/>
    <w:semiHidden/>
    <w:rsid w:val="004F1701"/>
    <w:pPr>
      <w:keepNext/>
      <w:tabs>
        <w:tab w:val="right" w:leader="dot" w:pos="8788"/>
      </w:tabs>
      <w:spacing w:before="240" w:after="0"/>
      <w:ind w:left="993" w:right="1134" w:hanging="142"/>
    </w:pPr>
    <w:rPr>
      <w:rFonts w:ascii="Arial" w:hAnsi="Arial"/>
      <w:b/>
      <w:lang w:val="en-GB"/>
    </w:rPr>
  </w:style>
  <w:style w:type="paragraph" w:styleId="TOC2">
    <w:name w:val="toc 2"/>
    <w:basedOn w:val="Normal"/>
    <w:semiHidden/>
    <w:rsid w:val="004F1701"/>
    <w:pPr>
      <w:keepNext/>
      <w:tabs>
        <w:tab w:val="left" w:pos="2125"/>
        <w:tab w:val="right" w:leader="dot" w:pos="8788"/>
      </w:tabs>
      <w:spacing w:after="0"/>
      <w:ind w:left="1701" w:right="1133" w:hanging="567"/>
    </w:pPr>
    <w:rPr>
      <w:rFonts w:ascii="Garmond (W1)" w:hAnsi="Garmond (W1)"/>
      <w:lang w:val="en-GB"/>
    </w:rPr>
  </w:style>
  <w:style w:type="paragraph" w:styleId="TOC3">
    <w:name w:val="toc 3"/>
    <w:basedOn w:val="Normal"/>
    <w:next w:val="Normal"/>
    <w:semiHidden/>
    <w:rsid w:val="004F1701"/>
    <w:pPr>
      <w:tabs>
        <w:tab w:val="left" w:pos="2692"/>
        <w:tab w:val="right" w:leader="dot" w:pos="8788"/>
      </w:tabs>
      <w:spacing w:after="0"/>
      <w:ind w:left="2268" w:right="1133" w:hanging="709"/>
    </w:pPr>
    <w:rPr>
      <w:rFonts w:ascii="Garmond (W1)" w:hAnsi="Garmond (W1)"/>
      <w:lang w:val="en-GB"/>
    </w:rPr>
  </w:style>
  <w:style w:type="paragraph" w:styleId="TOC4">
    <w:name w:val="toc 4"/>
    <w:basedOn w:val="Normal"/>
    <w:next w:val="Normal"/>
    <w:semiHidden/>
    <w:rsid w:val="004F1701"/>
    <w:pPr>
      <w:tabs>
        <w:tab w:val="right" w:leader="dot" w:pos="8788"/>
      </w:tabs>
      <w:spacing w:after="0"/>
      <w:ind w:left="440"/>
    </w:pPr>
    <w:rPr>
      <w:sz w:val="18"/>
    </w:rPr>
  </w:style>
  <w:style w:type="paragraph" w:styleId="TOC5">
    <w:name w:val="toc 5"/>
    <w:basedOn w:val="Normal"/>
    <w:next w:val="Normal"/>
    <w:semiHidden/>
    <w:rsid w:val="004F1701"/>
    <w:pPr>
      <w:tabs>
        <w:tab w:val="right" w:leader="dot" w:pos="8788"/>
      </w:tabs>
      <w:spacing w:after="0"/>
      <w:ind w:left="660"/>
    </w:pPr>
    <w:rPr>
      <w:sz w:val="18"/>
    </w:rPr>
  </w:style>
  <w:style w:type="paragraph" w:styleId="TOC6">
    <w:name w:val="toc 6"/>
    <w:basedOn w:val="Normal"/>
    <w:next w:val="Normal"/>
    <w:semiHidden/>
    <w:rsid w:val="004F1701"/>
    <w:pPr>
      <w:tabs>
        <w:tab w:val="right" w:leader="dot" w:pos="8788"/>
      </w:tabs>
      <w:spacing w:after="0"/>
      <w:ind w:left="880"/>
    </w:pPr>
    <w:rPr>
      <w:sz w:val="18"/>
    </w:rPr>
  </w:style>
  <w:style w:type="paragraph" w:styleId="TOC7">
    <w:name w:val="toc 7"/>
    <w:basedOn w:val="Normal"/>
    <w:next w:val="Normal"/>
    <w:semiHidden/>
    <w:rsid w:val="004F1701"/>
    <w:pPr>
      <w:tabs>
        <w:tab w:val="right" w:leader="dot" w:pos="8788"/>
      </w:tabs>
      <w:spacing w:after="0"/>
      <w:ind w:left="1100"/>
    </w:pPr>
    <w:rPr>
      <w:sz w:val="18"/>
    </w:rPr>
  </w:style>
  <w:style w:type="paragraph" w:styleId="TOC8">
    <w:name w:val="toc 8"/>
    <w:basedOn w:val="Normal"/>
    <w:next w:val="Normal"/>
    <w:semiHidden/>
    <w:rsid w:val="004F1701"/>
    <w:pPr>
      <w:tabs>
        <w:tab w:val="right" w:leader="dot" w:pos="8788"/>
      </w:tabs>
      <w:spacing w:after="0"/>
      <w:ind w:left="1320"/>
    </w:pPr>
    <w:rPr>
      <w:sz w:val="18"/>
    </w:rPr>
  </w:style>
  <w:style w:type="paragraph" w:styleId="TOC9">
    <w:name w:val="toc 9"/>
    <w:basedOn w:val="Normal"/>
    <w:next w:val="Normal"/>
    <w:semiHidden/>
    <w:rsid w:val="004F1701"/>
    <w:pPr>
      <w:tabs>
        <w:tab w:val="right" w:leader="dot" w:pos="8788"/>
      </w:tabs>
      <w:spacing w:after="0"/>
      <w:ind w:left="1540"/>
    </w:pPr>
    <w:rPr>
      <w:sz w:val="18"/>
    </w:rPr>
  </w:style>
  <w:style w:type="paragraph" w:styleId="TOCHeading">
    <w:name w:val="TOC Heading"/>
    <w:basedOn w:val="TOC1"/>
    <w:qFormat/>
    <w:rsid w:val="004F1701"/>
    <w:pPr>
      <w:spacing w:before="1200" w:after="600"/>
      <w:ind w:left="284"/>
    </w:pPr>
    <w:rPr>
      <w:sz w:val="32"/>
    </w:rPr>
  </w:style>
  <w:style w:type="paragraph" w:customStyle="1" w:styleId="TOCTitle">
    <w:name w:val="TOCTitle"/>
    <w:basedOn w:val="TOC1"/>
    <w:rsid w:val="004F1701"/>
    <w:pPr>
      <w:tabs>
        <w:tab w:val="right" w:leader="dot" w:pos="9356"/>
      </w:tabs>
      <w:spacing w:before="720" w:after="720"/>
      <w:ind w:left="567"/>
      <w:jc w:val="center"/>
    </w:pPr>
    <w:rPr>
      <w:caps/>
      <w:sz w:val="36"/>
    </w:rPr>
  </w:style>
  <w:style w:type="paragraph" w:styleId="Subtitle">
    <w:name w:val="Subtitle"/>
    <w:basedOn w:val="Normal"/>
    <w:next w:val="Normal"/>
    <w:link w:val="SubtitleChar"/>
    <w:qFormat/>
    <w:rsid w:val="00B1368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B13689"/>
    <w:rPr>
      <w:rFonts w:asciiTheme="minorHAnsi" w:eastAsiaTheme="majorEastAsia" w:hAnsiTheme="minorHAnsi" w:cstheme="majorBidi"/>
      <w:color w:val="595959" w:themeColor="text1" w:themeTint="A6"/>
      <w:spacing w:val="15"/>
      <w:sz w:val="28"/>
      <w:szCs w:val="28"/>
      <w:lang w:eastAsia="en-US"/>
    </w:rPr>
  </w:style>
  <w:style w:type="paragraph" w:styleId="Quote">
    <w:name w:val="Quote"/>
    <w:basedOn w:val="Normal"/>
    <w:next w:val="Normal"/>
    <w:link w:val="QuoteChar"/>
    <w:uiPriority w:val="29"/>
    <w:qFormat/>
    <w:rsid w:val="00B1368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13689"/>
    <w:rPr>
      <w:i/>
      <w:iCs/>
      <w:color w:val="404040" w:themeColor="text1" w:themeTint="BF"/>
      <w:sz w:val="24"/>
      <w:lang w:eastAsia="en-US"/>
    </w:rPr>
  </w:style>
  <w:style w:type="paragraph" w:styleId="ListParagraph">
    <w:name w:val="List Paragraph"/>
    <w:basedOn w:val="Normal"/>
    <w:uiPriority w:val="34"/>
    <w:qFormat/>
    <w:rsid w:val="00B13689"/>
    <w:pPr>
      <w:ind w:left="720"/>
      <w:contextualSpacing/>
    </w:pPr>
  </w:style>
  <w:style w:type="character" w:styleId="IntenseEmphasis">
    <w:name w:val="Intense Emphasis"/>
    <w:basedOn w:val="DefaultParagraphFont"/>
    <w:uiPriority w:val="21"/>
    <w:qFormat/>
    <w:rsid w:val="00B13689"/>
    <w:rPr>
      <w:i/>
      <w:iCs/>
      <w:color w:val="0F4761" w:themeColor="accent1" w:themeShade="BF"/>
    </w:rPr>
  </w:style>
  <w:style w:type="paragraph" w:styleId="IntenseQuote">
    <w:name w:val="Intense Quote"/>
    <w:basedOn w:val="Normal"/>
    <w:next w:val="Normal"/>
    <w:link w:val="IntenseQuoteChar"/>
    <w:uiPriority w:val="30"/>
    <w:qFormat/>
    <w:rsid w:val="00B136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3689"/>
    <w:rPr>
      <w:i/>
      <w:iCs/>
      <w:color w:val="0F4761" w:themeColor="accent1" w:themeShade="BF"/>
      <w:sz w:val="24"/>
      <w:lang w:eastAsia="en-US"/>
    </w:rPr>
  </w:style>
  <w:style w:type="character" w:styleId="IntenseReference">
    <w:name w:val="Intense Reference"/>
    <w:basedOn w:val="DefaultParagraphFont"/>
    <w:uiPriority w:val="32"/>
    <w:qFormat/>
    <w:rsid w:val="00B13689"/>
    <w:rPr>
      <w:b/>
      <w:bCs/>
      <w:smallCaps/>
      <w:color w:val="0F4761" w:themeColor="accent1" w:themeShade="BF"/>
      <w:spacing w:val="5"/>
    </w:rPr>
  </w:style>
  <w:style w:type="paragraph" w:styleId="NoSpacing">
    <w:name w:val="No Spacing"/>
    <w:uiPriority w:val="1"/>
    <w:qFormat/>
    <w:rsid w:val="00353E9C"/>
    <w:pPr>
      <w:tabs>
        <w:tab w:val="left" w:pos="709"/>
      </w:tabs>
    </w:pPr>
    <w:rPr>
      <w:sz w:val="24"/>
      <w:lang w:eastAsia="en-US"/>
    </w:rPr>
  </w:style>
  <w:style w:type="paragraph" w:customStyle="1" w:styleId="Listbullet">
    <w:name w:val="List–bullet"/>
    <w:basedOn w:val="ListParagraph"/>
    <w:qFormat/>
    <w:rsid w:val="00FE35DA"/>
    <w:pPr>
      <w:numPr>
        <w:numId w:val="10"/>
      </w:numPr>
      <w:spacing w:after="100"/>
      <w:contextualSpacing w:val="0"/>
    </w:pPr>
    <w:rPr>
      <w:lang w:val="mi-NZ"/>
    </w:rPr>
  </w:style>
  <w:style w:type="paragraph" w:customStyle="1" w:styleId="Tabletext">
    <w:name w:val="Table–text"/>
    <w:basedOn w:val="Normal"/>
    <w:qFormat/>
    <w:rsid w:val="00FE35DA"/>
    <w:pPr>
      <w:spacing w:before="60" w:after="60"/>
    </w:pPr>
    <w:rPr>
      <w:szCs w:val="21"/>
    </w:rPr>
  </w:style>
  <w:style w:type="table" w:customStyle="1" w:styleId="Style3">
    <w:name w:val="Style3"/>
    <w:basedOn w:val="TableNormal"/>
    <w:uiPriority w:val="99"/>
    <w:rsid w:val="00FE35DA"/>
    <w:rPr>
      <w:rFonts w:asciiTheme="minorHAnsi" w:eastAsiaTheme="minorHAnsi" w:hAnsiTheme="minorHAnsi" w:cstheme="minorBidi"/>
      <w:sz w:val="22"/>
      <w:szCs w:val="22"/>
      <w:lang w:eastAsia="en-US"/>
    </w:rPr>
    <w:tblPr>
      <w:tblStyleRowBandSize w:val="1"/>
    </w:tblPr>
    <w:tblStylePr w:type="firstRow">
      <w:tblPr/>
      <w:tcPr>
        <w:shd w:val="clear" w:color="auto" w:fill="002043"/>
      </w:tcPr>
    </w:tblStylePr>
    <w:tblStylePr w:type="band1Horz">
      <w:tblPr/>
      <w:tcPr>
        <w:shd w:val="clear" w:color="auto" w:fill="EDECEB"/>
      </w:tcPr>
    </w:tblStylePr>
  </w:style>
  <w:style w:type="character" w:styleId="Hyperlink">
    <w:name w:val="Hyperlink"/>
    <w:basedOn w:val="DefaultParagraphFont"/>
    <w:uiPriority w:val="99"/>
    <w:rsid w:val="00981DC4"/>
    <w:rPr>
      <w:noProof w:val="0"/>
      <w:color w:val="467886" w:themeColor="hyperlink"/>
      <w:u w:val="single"/>
      <w:lang w:val="en-NZ"/>
    </w:rPr>
  </w:style>
  <w:style w:type="character" w:styleId="FollowedHyperlink">
    <w:name w:val="FollowedHyperlink"/>
    <w:basedOn w:val="DefaultParagraphFont"/>
    <w:rsid w:val="009D0FDC"/>
    <w:rPr>
      <w:color w:val="96607D" w:themeColor="followedHyperlink"/>
      <w:u w:val="single"/>
    </w:rPr>
  </w:style>
  <w:style w:type="table" w:styleId="TableGrid">
    <w:name w:val="Table Grid"/>
    <w:basedOn w:val="TableNormal"/>
    <w:rsid w:val="00467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463169">
      <w:bodyDiv w:val="1"/>
      <w:marLeft w:val="0"/>
      <w:marRight w:val="0"/>
      <w:marTop w:val="0"/>
      <w:marBottom w:val="0"/>
      <w:divBdr>
        <w:top w:val="none" w:sz="0" w:space="0" w:color="auto"/>
        <w:left w:val="none" w:sz="0" w:space="0" w:color="auto"/>
        <w:bottom w:val="none" w:sz="0" w:space="0" w:color="auto"/>
        <w:right w:val="none" w:sz="0" w:space="0" w:color="auto"/>
      </w:divBdr>
    </w:div>
    <w:div w:id="843713768">
      <w:bodyDiv w:val="1"/>
      <w:marLeft w:val="0"/>
      <w:marRight w:val="0"/>
      <w:marTop w:val="0"/>
      <w:marBottom w:val="0"/>
      <w:divBdr>
        <w:top w:val="none" w:sz="0" w:space="0" w:color="auto"/>
        <w:left w:val="none" w:sz="0" w:space="0" w:color="auto"/>
        <w:bottom w:val="none" w:sz="0" w:space="0" w:color="auto"/>
        <w:right w:val="none" w:sz="0" w:space="0" w:color="auto"/>
      </w:divBdr>
    </w:div>
    <w:div w:id="847526660">
      <w:bodyDiv w:val="1"/>
      <w:marLeft w:val="0"/>
      <w:marRight w:val="0"/>
      <w:marTop w:val="0"/>
      <w:marBottom w:val="0"/>
      <w:divBdr>
        <w:top w:val="none" w:sz="0" w:space="0" w:color="auto"/>
        <w:left w:val="none" w:sz="0" w:space="0" w:color="auto"/>
        <w:bottom w:val="none" w:sz="0" w:space="0" w:color="auto"/>
        <w:right w:val="none" w:sz="0" w:space="0" w:color="auto"/>
      </w:divBdr>
    </w:div>
    <w:div w:id="925698319">
      <w:bodyDiv w:val="1"/>
      <w:marLeft w:val="0"/>
      <w:marRight w:val="0"/>
      <w:marTop w:val="0"/>
      <w:marBottom w:val="0"/>
      <w:divBdr>
        <w:top w:val="none" w:sz="0" w:space="0" w:color="auto"/>
        <w:left w:val="none" w:sz="0" w:space="0" w:color="auto"/>
        <w:bottom w:val="none" w:sz="0" w:space="0" w:color="auto"/>
        <w:right w:val="none" w:sz="0" w:space="0" w:color="auto"/>
      </w:divBdr>
    </w:div>
    <w:div w:id="178965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consultation@caa.govt.n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viation.govt.nz/about-us/what-we-do/how-we-are-funded/funding-review-2024" TargetMode="External"/><Relationship Id="rId11" Type="http://schemas.openxmlformats.org/officeDocument/2006/relationships/fontTable" Target="fontTable.xml"/><Relationship Id="rId5" Type="http://schemas.openxmlformats.org/officeDocument/2006/relationships/hyperlink" Target="https://www.aviation.govt.nz/about-us/what-we-do/how-we-are-funded/funding-review-2024"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sv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515</Words>
  <Characters>2937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Links>
    <vt:vector size="18" baseType="variant">
      <vt:variant>
        <vt:i4>983137</vt:i4>
      </vt:variant>
      <vt:variant>
        <vt:i4>6</vt:i4>
      </vt:variant>
      <vt:variant>
        <vt:i4>0</vt:i4>
      </vt:variant>
      <vt:variant>
        <vt:i4>5</vt:i4>
      </vt:variant>
      <vt:variant>
        <vt:lpwstr>mailto:consultation@caa.govt.nz</vt:lpwstr>
      </vt:variant>
      <vt:variant>
        <vt:lpwstr/>
      </vt:variant>
      <vt:variant>
        <vt:i4>3473459</vt:i4>
      </vt:variant>
      <vt:variant>
        <vt:i4>3</vt:i4>
      </vt:variant>
      <vt:variant>
        <vt:i4>0</vt:i4>
      </vt:variant>
      <vt:variant>
        <vt:i4>5</vt:i4>
      </vt:variant>
      <vt:variant>
        <vt:lpwstr>https://www.aviation.govt.nz/about-us/what-we-do/how-we-are-funded/funding-review-2024</vt:lpwstr>
      </vt:variant>
      <vt:variant>
        <vt:lpwstr/>
      </vt:variant>
      <vt:variant>
        <vt:i4>3473459</vt:i4>
      </vt:variant>
      <vt:variant>
        <vt:i4>0</vt:i4>
      </vt:variant>
      <vt:variant>
        <vt:i4>0</vt:i4>
      </vt:variant>
      <vt:variant>
        <vt:i4>5</vt:i4>
      </vt:variant>
      <vt:variant>
        <vt:lpwstr>https://www.aviation.govt.nz/about-us/what-we-do/how-we-are-funded/funding-review-2024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 Nichol</dc:creator>
  <cp:keywords/>
  <dc:description/>
  <cp:lastModifiedBy>Jenn Nichol</cp:lastModifiedBy>
  <cp:revision>34</cp:revision>
  <cp:lastPrinted>2024-08-22T19:58:00Z</cp:lastPrinted>
  <dcterms:created xsi:type="dcterms:W3CDTF">2024-08-22T19:56:00Z</dcterms:created>
  <dcterms:modified xsi:type="dcterms:W3CDTF">2024-08-23T17:07:00Z</dcterms:modified>
</cp:coreProperties>
</file>